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689"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699"/>
        <w:gridCol w:w="3563"/>
        <w:gridCol w:w="841"/>
      </w:tblGrid>
      <w:tr w:rsidR="00A90087" w:rsidRPr="00990492" w14:paraId="36710B20" w14:textId="77777777" w:rsidTr="522C434C">
        <w:tc>
          <w:tcPr>
            <w:tcW w:w="338" w:type="pct"/>
            <w:shd w:val="clear" w:color="auto" w:fill="D9D9D9" w:themeFill="background1" w:themeFillShade="D9"/>
          </w:tcPr>
          <w:p w14:paraId="6C346C09" w14:textId="77777777" w:rsidR="00B222A2" w:rsidRPr="00990492" w:rsidRDefault="00B222A2" w:rsidP="00F53E29">
            <w:pPr>
              <w:rPr>
                <w:lang w:val="ro-RO"/>
              </w:rPr>
            </w:pPr>
          </w:p>
        </w:tc>
        <w:tc>
          <w:tcPr>
            <w:tcW w:w="4309" w:type="pct"/>
            <w:gridSpan w:val="2"/>
            <w:shd w:val="clear" w:color="auto" w:fill="D9D9D9" w:themeFill="background1" w:themeFillShade="D9"/>
          </w:tcPr>
          <w:p w14:paraId="32219745" w14:textId="77777777" w:rsidR="00B222A2" w:rsidRPr="00990492" w:rsidRDefault="00B222A2" w:rsidP="00F53E29">
            <w:pPr>
              <w:rPr>
                <w:lang w:val="ro-RO"/>
              </w:rPr>
            </w:pPr>
          </w:p>
        </w:tc>
        <w:tc>
          <w:tcPr>
            <w:tcW w:w="353" w:type="pct"/>
            <w:shd w:val="clear" w:color="auto" w:fill="D9D9D9" w:themeFill="background1" w:themeFillShade="D9"/>
          </w:tcPr>
          <w:p w14:paraId="4DB51199" w14:textId="77777777" w:rsidR="00B222A2" w:rsidRPr="00990492" w:rsidRDefault="00B222A2" w:rsidP="00F53E29">
            <w:pPr>
              <w:rPr>
                <w:lang w:val="ro-RO"/>
              </w:rPr>
            </w:pPr>
          </w:p>
        </w:tc>
      </w:tr>
      <w:tr w:rsidR="00A90087" w:rsidRPr="00990492" w14:paraId="40C237C0" w14:textId="77777777" w:rsidTr="522C434C">
        <w:tc>
          <w:tcPr>
            <w:tcW w:w="338" w:type="pct"/>
            <w:shd w:val="clear" w:color="auto" w:fill="D9D9D9" w:themeFill="background1" w:themeFillShade="D9"/>
          </w:tcPr>
          <w:p w14:paraId="29C49DB9" w14:textId="77777777" w:rsidR="00B222A2" w:rsidRPr="00990492" w:rsidRDefault="00B222A2" w:rsidP="00F53E29">
            <w:pPr>
              <w:rPr>
                <w:lang w:val="ro-RO"/>
              </w:rPr>
            </w:pPr>
            <w:bookmarkStart w:id="0" w:name="myTitle" w:colFirst="1" w:colLast="1"/>
          </w:p>
        </w:tc>
        <w:tc>
          <w:tcPr>
            <w:tcW w:w="4309" w:type="pct"/>
            <w:gridSpan w:val="2"/>
            <w:shd w:val="clear" w:color="auto" w:fill="D9D9D9" w:themeFill="background1" w:themeFillShade="D9"/>
          </w:tcPr>
          <w:p w14:paraId="76E3868A" w14:textId="217C0989" w:rsidR="00B222A2" w:rsidRPr="00990492" w:rsidRDefault="00103761" w:rsidP="00103761">
            <w:pPr>
              <w:pStyle w:val="Title"/>
              <w:spacing w:after="240"/>
              <w:rPr>
                <w:lang w:val="ro-RO"/>
              </w:rPr>
            </w:pPr>
            <w:r w:rsidRPr="00990492">
              <w:rPr>
                <w:lang w:val="ro-RO"/>
              </w:rPr>
              <w:t>Notă tehnică privind înt</w:t>
            </w:r>
            <w:r w:rsidR="00990492">
              <w:rPr>
                <w:lang w:val="ro-RO"/>
              </w:rPr>
              <w:t>ârzierea expedierilor vaccinurilor</w:t>
            </w:r>
            <w:r w:rsidR="00494BC4" w:rsidRPr="00990492">
              <w:rPr>
                <w:lang w:val="ro-RO"/>
              </w:rPr>
              <w:t xml:space="preserve"> ChAdOx1-S [recombinant]</w:t>
            </w:r>
            <w:r w:rsidRPr="00990492">
              <w:rPr>
                <w:lang w:val="ro-RO"/>
              </w:rPr>
              <w:t>: care sunt implicațiile pentru administrarea celei de-a doua doze</w:t>
            </w:r>
            <w:r w:rsidR="00494BC4" w:rsidRPr="00990492">
              <w:rPr>
                <w:lang w:val="ro-RO"/>
              </w:rPr>
              <w:t>?</w:t>
            </w:r>
          </w:p>
        </w:tc>
        <w:tc>
          <w:tcPr>
            <w:tcW w:w="353" w:type="pct"/>
            <w:shd w:val="clear" w:color="auto" w:fill="D9D9D9" w:themeFill="background1" w:themeFillShade="D9"/>
          </w:tcPr>
          <w:p w14:paraId="11AD4F27" w14:textId="77777777" w:rsidR="00B222A2" w:rsidRPr="00990492" w:rsidRDefault="00B222A2" w:rsidP="00F53E29">
            <w:pPr>
              <w:rPr>
                <w:lang w:val="ro-RO"/>
              </w:rPr>
            </w:pPr>
          </w:p>
        </w:tc>
      </w:tr>
      <w:bookmarkEnd w:id="0"/>
      <w:tr w:rsidR="00257263" w:rsidRPr="00990492" w14:paraId="0F87E23F" w14:textId="77777777" w:rsidTr="522C434C">
        <w:tc>
          <w:tcPr>
            <w:tcW w:w="338" w:type="pct"/>
            <w:shd w:val="clear" w:color="auto" w:fill="D9D9D9" w:themeFill="background1" w:themeFillShade="D9"/>
            <w:vAlign w:val="bottom"/>
          </w:tcPr>
          <w:p w14:paraId="75E19D82" w14:textId="77777777" w:rsidR="00B222A2" w:rsidRPr="00990492" w:rsidRDefault="00B222A2" w:rsidP="00F53E29">
            <w:pPr>
              <w:rPr>
                <w:lang w:val="ro-RO"/>
              </w:rPr>
            </w:pPr>
          </w:p>
        </w:tc>
        <w:tc>
          <w:tcPr>
            <w:tcW w:w="2813" w:type="pct"/>
            <w:shd w:val="clear" w:color="auto" w:fill="D9D9D9" w:themeFill="background1" w:themeFillShade="D9"/>
            <w:vAlign w:val="bottom"/>
          </w:tcPr>
          <w:p w14:paraId="6B647F7B" w14:textId="29C047F3" w:rsidR="00B222A2" w:rsidRPr="00990492" w:rsidRDefault="00103761" w:rsidP="00F53E29">
            <w:pPr>
              <w:pStyle w:val="Subtitle"/>
              <w:spacing w:before="120" w:after="0"/>
              <w:rPr>
                <w:sz w:val="36"/>
                <w:lang w:val="ro-RO"/>
              </w:rPr>
            </w:pPr>
            <w:bookmarkStart w:id="1" w:name="mySubtitle"/>
            <w:r w:rsidRPr="00990492">
              <w:rPr>
                <w:sz w:val="36"/>
                <w:lang w:val="ro-RO"/>
              </w:rPr>
              <w:t xml:space="preserve">Notă științifică </w:t>
            </w:r>
            <w:bookmarkEnd w:id="1"/>
          </w:p>
          <w:p w14:paraId="097B8A3F" w14:textId="102901EB" w:rsidR="00B222A2" w:rsidRPr="00990492" w:rsidRDefault="00685F79" w:rsidP="00F53E29">
            <w:pPr>
              <w:pStyle w:val="Subtitle"/>
              <w:spacing w:before="120" w:after="0"/>
              <w:rPr>
                <w:lang w:val="ro-RO"/>
              </w:rPr>
            </w:pPr>
            <w:r w:rsidRPr="00990492">
              <w:rPr>
                <w:highlight w:val="yellow"/>
                <w:lang w:val="ro-RO"/>
              </w:rPr>
              <w:t xml:space="preserve">26 </w:t>
            </w:r>
            <w:r w:rsidR="00103761" w:rsidRPr="00990492">
              <w:rPr>
                <w:lang w:val="ro-RO"/>
              </w:rPr>
              <w:t>mai</w:t>
            </w:r>
            <w:r w:rsidR="00B222A2" w:rsidRPr="00990492">
              <w:rPr>
                <w:lang w:val="ro-RO"/>
              </w:rPr>
              <w:t xml:space="preserve"> 2021</w:t>
            </w:r>
          </w:p>
        </w:tc>
        <w:tc>
          <w:tcPr>
            <w:tcW w:w="1496" w:type="pct"/>
            <w:shd w:val="clear" w:color="auto" w:fill="D9D9D9" w:themeFill="background1" w:themeFillShade="D9"/>
            <w:vAlign w:val="bottom"/>
          </w:tcPr>
          <w:p w14:paraId="63735067" w14:textId="77777777" w:rsidR="00B222A2" w:rsidRPr="00990492" w:rsidRDefault="00B222A2" w:rsidP="00F53E29">
            <w:pPr>
              <w:rPr>
                <w:lang w:val="ro-RO"/>
              </w:rPr>
            </w:pPr>
            <w:r w:rsidRPr="00990492">
              <w:rPr>
                <w:noProof/>
                <w:lang w:val="ro-RO" w:eastAsia="en-US"/>
              </w:rPr>
              <w:drawing>
                <wp:inline distT="0" distB="0" distL="0" distR="0" wp14:anchorId="5AD9E364" wp14:editId="5DD81961">
                  <wp:extent cx="1483200" cy="4572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483200" cy="457200"/>
                          </a:xfrm>
                          <a:prstGeom prst="rect">
                            <a:avLst/>
                          </a:prstGeom>
                        </pic:spPr>
                      </pic:pic>
                    </a:graphicData>
                  </a:graphic>
                </wp:inline>
              </w:drawing>
            </w:r>
          </w:p>
        </w:tc>
        <w:tc>
          <w:tcPr>
            <w:tcW w:w="353" w:type="pct"/>
            <w:shd w:val="clear" w:color="auto" w:fill="D9D9D9" w:themeFill="background1" w:themeFillShade="D9"/>
            <w:vAlign w:val="bottom"/>
          </w:tcPr>
          <w:p w14:paraId="59E05E20" w14:textId="77777777" w:rsidR="00B222A2" w:rsidRPr="00990492" w:rsidRDefault="00B222A2" w:rsidP="00F53E29">
            <w:pPr>
              <w:rPr>
                <w:noProof/>
                <w:lang w:val="ro-RO"/>
              </w:rPr>
            </w:pPr>
          </w:p>
        </w:tc>
      </w:tr>
      <w:tr w:rsidR="00257263" w:rsidRPr="00990492" w14:paraId="6116939F" w14:textId="77777777" w:rsidTr="522C434C">
        <w:tc>
          <w:tcPr>
            <w:tcW w:w="338" w:type="pct"/>
            <w:shd w:val="clear" w:color="auto" w:fill="D9D9D9" w:themeFill="background1" w:themeFillShade="D9"/>
          </w:tcPr>
          <w:p w14:paraId="6AFF3E96" w14:textId="77777777" w:rsidR="00B222A2" w:rsidRPr="00990492" w:rsidRDefault="00B222A2" w:rsidP="00F53E29">
            <w:pPr>
              <w:rPr>
                <w:lang w:val="ro-RO"/>
              </w:rPr>
            </w:pPr>
          </w:p>
        </w:tc>
        <w:tc>
          <w:tcPr>
            <w:tcW w:w="2813" w:type="pct"/>
            <w:shd w:val="clear" w:color="auto" w:fill="D9D9D9" w:themeFill="background1" w:themeFillShade="D9"/>
          </w:tcPr>
          <w:p w14:paraId="5D10E711" w14:textId="77777777" w:rsidR="00B222A2" w:rsidRPr="00990492" w:rsidRDefault="00B222A2" w:rsidP="00F53E29">
            <w:pPr>
              <w:rPr>
                <w:lang w:val="ro-RO"/>
              </w:rPr>
            </w:pPr>
          </w:p>
        </w:tc>
        <w:tc>
          <w:tcPr>
            <w:tcW w:w="1496" w:type="pct"/>
            <w:shd w:val="clear" w:color="auto" w:fill="D9D9D9" w:themeFill="background1" w:themeFillShade="D9"/>
          </w:tcPr>
          <w:p w14:paraId="6C7D6AA3" w14:textId="77777777" w:rsidR="00B222A2" w:rsidRPr="00990492" w:rsidRDefault="00B222A2" w:rsidP="00F53E29">
            <w:pPr>
              <w:rPr>
                <w:noProof/>
                <w:lang w:val="ro-RO"/>
              </w:rPr>
            </w:pPr>
          </w:p>
        </w:tc>
        <w:tc>
          <w:tcPr>
            <w:tcW w:w="353" w:type="pct"/>
            <w:shd w:val="clear" w:color="auto" w:fill="D9D9D9" w:themeFill="background1" w:themeFillShade="D9"/>
          </w:tcPr>
          <w:p w14:paraId="2270EBE6" w14:textId="77777777" w:rsidR="00B222A2" w:rsidRPr="00990492" w:rsidRDefault="00B222A2" w:rsidP="00F53E29">
            <w:pPr>
              <w:rPr>
                <w:noProof/>
                <w:lang w:val="ro-RO"/>
              </w:rPr>
            </w:pPr>
          </w:p>
        </w:tc>
      </w:tr>
    </w:tbl>
    <w:p w14:paraId="3A2A1606" w14:textId="77777777" w:rsidR="00B222A2" w:rsidRPr="00990492" w:rsidRDefault="00B222A2" w:rsidP="00B222A2">
      <w:pPr>
        <w:rPr>
          <w:lang w:val="ro-RO"/>
        </w:rPr>
        <w:sectPr w:rsidR="00B222A2" w:rsidRPr="00990492" w:rsidSect="00F53E29">
          <w:footerReference w:type="default" r:id="rId12"/>
          <w:footerReference w:type="first" r:id="rId13"/>
          <w:pgSz w:w="11906" w:h="16838"/>
          <w:pgMar w:top="720" w:right="720" w:bottom="720" w:left="720" w:header="708" w:footer="708" w:gutter="0"/>
          <w:cols w:space="708"/>
          <w:titlePg/>
          <w:docGrid w:linePitch="360"/>
        </w:sectPr>
      </w:pPr>
      <w:bookmarkStart w:id="2" w:name="Introduction"/>
    </w:p>
    <w:bookmarkEnd w:id="2"/>
    <w:p w14:paraId="6EF3AC7A" w14:textId="70C1BE88" w:rsidR="00494BC4" w:rsidRPr="00990492" w:rsidRDefault="002A69D0" w:rsidP="00494BC4">
      <w:pPr>
        <w:pStyle w:val="Heading1"/>
        <w:rPr>
          <w:sz w:val="22"/>
          <w:szCs w:val="24"/>
          <w:lang w:val="ro-RO"/>
        </w:rPr>
      </w:pPr>
      <w:r w:rsidRPr="00990492">
        <w:rPr>
          <w:sz w:val="22"/>
          <w:szCs w:val="24"/>
          <w:lang w:val="ro-RO"/>
        </w:rPr>
        <w:t>Descrierea problemei</w:t>
      </w:r>
      <w:r w:rsidR="00494BC4" w:rsidRPr="00990492">
        <w:rPr>
          <w:sz w:val="22"/>
          <w:szCs w:val="24"/>
          <w:lang w:val="ro-RO"/>
        </w:rPr>
        <w:t xml:space="preserve">: </w:t>
      </w:r>
    </w:p>
    <w:p w14:paraId="152CBD2F" w14:textId="22A5A7C6" w:rsidR="00494BC4" w:rsidRPr="00990492" w:rsidRDefault="002A69D0" w:rsidP="00494BC4">
      <w:pPr>
        <w:rPr>
          <w:sz w:val="22"/>
          <w:szCs w:val="22"/>
          <w:lang w:val="ro-RO"/>
        </w:rPr>
      </w:pPr>
      <w:r w:rsidRPr="00990492">
        <w:rPr>
          <w:sz w:val="22"/>
          <w:szCs w:val="22"/>
          <w:lang w:val="ro-RO"/>
        </w:rPr>
        <w:t xml:space="preserve">Aprovizionarea globală a </w:t>
      </w:r>
      <w:r w:rsidR="00990492">
        <w:rPr>
          <w:sz w:val="22"/>
          <w:szCs w:val="22"/>
          <w:lang w:val="ro-RO"/>
        </w:rPr>
        <w:t>vaccinurilor</w:t>
      </w:r>
      <w:r w:rsidR="00990492" w:rsidRPr="00990492">
        <w:rPr>
          <w:sz w:val="22"/>
          <w:szCs w:val="22"/>
          <w:lang w:val="ro-RO"/>
        </w:rPr>
        <w:t xml:space="preserve"> </w:t>
      </w:r>
      <w:r w:rsidR="00990492">
        <w:rPr>
          <w:sz w:val="22"/>
          <w:szCs w:val="22"/>
          <w:lang w:val="ro-RO"/>
        </w:rPr>
        <w:t>ChAdOx1-[recombinant] la moment este limitată</w:t>
      </w:r>
      <w:r w:rsidR="00494BC4" w:rsidRPr="00990492">
        <w:rPr>
          <w:sz w:val="22"/>
          <w:szCs w:val="22"/>
          <w:lang w:val="ro-RO"/>
        </w:rPr>
        <w:t xml:space="preserve">, </w:t>
      </w:r>
      <w:r w:rsidR="00990492">
        <w:rPr>
          <w:sz w:val="22"/>
          <w:szCs w:val="22"/>
          <w:lang w:val="ro-RO"/>
        </w:rPr>
        <w:t>ceea ce afectează accesului țărilor la vaccinurilor ChAdOx1-S [recombinant]</w:t>
      </w:r>
      <w:r w:rsidR="00494BC4" w:rsidRPr="00990492">
        <w:rPr>
          <w:sz w:val="22"/>
          <w:szCs w:val="22"/>
          <w:lang w:val="ro-RO"/>
        </w:rPr>
        <w:t xml:space="preserve"> (</w:t>
      </w:r>
      <w:r w:rsidR="00990492">
        <w:rPr>
          <w:sz w:val="22"/>
          <w:szCs w:val="22"/>
          <w:lang w:val="ro-RO"/>
        </w:rPr>
        <w:t xml:space="preserve">vaccinul anti-COVID-19 AstraZeneca </w:t>
      </w:r>
      <w:r w:rsidR="00494BC4" w:rsidRPr="00990492">
        <w:rPr>
          <w:sz w:val="22"/>
          <w:szCs w:val="22"/>
          <w:lang w:val="ro-RO"/>
        </w:rPr>
        <w:t>AZD1222, SII Covishield, SK Bioscience).</w:t>
      </w:r>
      <w:r w:rsidR="00072895" w:rsidRPr="00990492">
        <w:rPr>
          <w:sz w:val="22"/>
          <w:szCs w:val="22"/>
          <w:lang w:val="ro-RO"/>
        </w:rPr>
        <w:t xml:space="preserve"> </w:t>
      </w:r>
      <w:r w:rsidR="00990492">
        <w:rPr>
          <w:sz w:val="22"/>
          <w:szCs w:val="22"/>
          <w:lang w:val="ro-RO"/>
        </w:rPr>
        <w:t>Această constrângere este indusă de multipli factori, inclusiv și de întârzierile în producere din partea companiilor, întârzierile în expedieri și necesitățile specifice neprevăzute ale țărilor</w:t>
      </w:r>
      <w:r w:rsidR="6C014194" w:rsidRPr="00990492">
        <w:rPr>
          <w:sz w:val="22"/>
          <w:szCs w:val="22"/>
          <w:lang w:val="ro-RO"/>
        </w:rPr>
        <w:t>.</w:t>
      </w:r>
      <w:r w:rsidR="00990492">
        <w:rPr>
          <w:sz w:val="22"/>
          <w:szCs w:val="22"/>
          <w:lang w:val="ro-RO"/>
        </w:rPr>
        <w:t xml:space="preserve"> Țările și economiile participante la Facilitatea COVAX sunt îndeosebi de afectate</w:t>
      </w:r>
      <w:r w:rsidR="00494BC4" w:rsidRPr="00990492">
        <w:rPr>
          <w:sz w:val="22"/>
          <w:szCs w:val="22"/>
          <w:lang w:val="ro-RO"/>
        </w:rPr>
        <w:t>.</w:t>
      </w:r>
      <w:r w:rsidR="00072895" w:rsidRPr="00990492">
        <w:rPr>
          <w:sz w:val="22"/>
          <w:szCs w:val="22"/>
          <w:lang w:val="ro-RO"/>
        </w:rPr>
        <w:t xml:space="preserve"> </w:t>
      </w:r>
      <w:r w:rsidR="00990492">
        <w:rPr>
          <w:sz w:val="22"/>
          <w:szCs w:val="22"/>
          <w:lang w:val="ro-RO"/>
        </w:rPr>
        <w:t>Incertitudinea aprovizionării pe viitor a determinat țările să revizuiască politicile și implicațiile program</w:t>
      </w:r>
      <w:r w:rsidR="000D2076">
        <w:rPr>
          <w:sz w:val="22"/>
          <w:szCs w:val="22"/>
          <w:lang w:val="ro-RO"/>
        </w:rPr>
        <w:t>a</w:t>
      </w:r>
      <w:bookmarkStart w:id="3" w:name="_GoBack"/>
      <w:bookmarkEnd w:id="3"/>
      <w:r w:rsidR="00990492">
        <w:rPr>
          <w:sz w:val="22"/>
          <w:szCs w:val="22"/>
          <w:lang w:val="ro-RO"/>
        </w:rPr>
        <w:t>tice, deoarece oferirea celei de-a doua doze a vaccinului în cadrul orarului recomandat de OMS de 8-12-săptămâni ar putea să nu fie fezabilă în viitorul apropiat</w:t>
      </w:r>
      <w:r w:rsidR="00494BC4" w:rsidRPr="00990492">
        <w:rPr>
          <w:sz w:val="22"/>
          <w:szCs w:val="22"/>
          <w:lang w:val="ro-RO"/>
        </w:rPr>
        <w:t>.</w:t>
      </w:r>
      <w:r w:rsidR="00072895" w:rsidRPr="00990492">
        <w:rPr>
          <w:sz w:val="22"/>
          <w:szCs w:val="22"/>
          <w:lang w:val="ro-RO"/>
        </w:rPr>
        <w:t xml:space="preserve"> </w:t>
      </w:r>
      <w:r w:rsidR="00990492">
        <w:rPr>
          <w:sz w:val="22"/>
          <w:szCs w:val="22"/>
          <w:lang w:val="ro-RO"/>
        </w:rPr>
        <w:t xml:space="preserve">Acest </w:t>
      </w:r>
      <w:r w:rsidR="00494BC4" w:rsidRPr="00990492">
        <w:rPr>
          <w:sz w:val="22"/>
          <w:szCs w:val="22"/>
          <w:lang w:val="ro-RO"/>
        </w:rPr>
        <w:t xml:space="preserve">document </w:t>
      </w:r>
      <w:r w:rsidR="00582BA0">
        <w:rPr>
          <w:sz w:val="22"/>
          <w:szCs w:val="22"/>
          <w:lang w:val="ro-RO"/>
        </w:rPr>
        <w:t xml:space="preserve">suplimentează informația oferită în nota tehnică întitulată </w:t>
      </w:r>
      <w:r w:rsidR="00494BC4" w:rsidRPr="00990492">
        <w:rPr>
          <w:sz w:val="22"/>
          <w:szCs w:val="22"/>
          <w:lang w:val="ro-RO"/>
        </w:rPr>
        <w:t>‘Considera</w:t>
      </w:r>
      <w:r w:rsidR="00582BA0">
        <w:rPr>
          <w:sz w:val="22"/>
          <w:szCs w:val="22"/>
          <w:lang w:val="ro-RO"/>
        </w:rPr>
        <w:t xml:space="preserve">țiuni pentru optimizarea distribuirii vaccinurilor </w:t>
      </w:r>
      <w:r w:rsidR="00494BC4" w:rsidRPr="00990492">
        <w:rPr>
          <w:sz w:val="22"/>
          <w:szCs w:val="22"/>
          <w:lang w:val="ro-RO"/>
        </w:rPr>
        <w:t xml:space="preserve">ChAdOx1-S [recombinant] </w:t>
      </w:r>
      <w:r w:rsidR="00582BA0">
        <w:rPr>
          <w:sz w:val="22"/>
          <w:szCs w:val="22"/>
          <w:lang w:val="ro-RO"/>
        </w:rPr>
        <w:t>într-o situație de aprovizionări constrânse limitate în timp</w:t>
      </w:r>
      <w:r w:rsidR="00494BC4" w:rsidRPr="00990492">
        <w:rPr>
          <w:sz w:val="22"/>
          <w:szCs w:val="22"/>
          <w:lang w:val="ro-RO"/>
        </w:rPr>
        <w:t>’</w:t>
      </w:r>
      <w:r w:rsidR="00494BC4" w:rsidRPr="00990492">
        <w:rPr>
          <w:rStyle w:val="FootnoteReference"/>
          <w:sz w:val="22"/>
          <w:szCs w:val="22"/>
          <w:lang w:val="ro-RO"/>
        </w:rPr>
        <w:footnoteReference w:id="2"/>
      </w:r>
      <w:r w:rsidR="00582BA0">
        <w:rPr>
          <w:sz w:val="22"/>
          <w:szCs w:val="22"/>
          <w:lang w:val="ro-RO"/>
        </w:rPr>
        <w:t xml:space="preserve"> și oferă informații actualizate relevante pentru oferirea celei de-a doua doze în contextul curent de aprovizionare limitată</w:t>
      </w:r>
      <w:r w:rsidR="00494BC4" w:rsidRPr="00990492">
        <w:rPr>
          <w:sz w:val="22"/>
          <w:szCs w:val="22"/>
          <w:lang w:val="ro-RO"/>
        </w:rPr>
        <w:t>.</w:t>
      </w:r>
      <w:r w:rsidR="00072895" w:rsidRPr="00990492">
        <w:rPr>
          <w:sz w:val="22"/>
          <w:szCs w:val="22"/>
          <w:lang w:val="ro-RO"/>
        </w:rPr>
        <w:t xml:space="preserve"> </w:t>
      </w:r>
      <w:r w:rsidR="00582BA0">
        <w:rPr>
          <w:sz w:val="22"/>
          <w:szCs w:val="22"/>
          <w:lang w:val="ro-RO"/>
        </w:rPr>
        <w:t>Deși la moment nu sunt disponibile dovezi definitive</w:t>
      </w:r>
      <w:r w:rsidR="00494BC4" w:rsidRPr="00990492">
        <w:rPr>
          <w:sz w:val="22"/>
          <w:szCs w:val="22"/>
          <w:lang w:val="ro-RO"/>
        </w:rPr>
        <w:t>,</w:t>
      </w:r>
      <w:r w:rsidR="00582BA0">
        <w:rPr>
          <w:sz w:val="22"/>
          <w:szCs w:val="22"/>
          <w:lang w:val="ro-RO"/>
        </w:rPr>
        <w:t xml:space="preserve"> considerațiunile de mai jos se bazează pe revizuirea de către experți a celor mai bune dovezi disponibile și sunt menite să acorde ajutor țărilor în luarea deciziilor susținute de îndrumările anterioare ale OMS</w:t>
      </w:r>
      <w:r w:rsidR="00494BC4" w:rsidRPr="00990492">
        <w:rPr>
          <w:sz w:val="22"/>
          <w:szCs w:val="22"/>
          <w:lang w:val="ro-RO"/>
        </w:rPr>
        <w:t>.</w:t>
      </w:r>
      <w:r w:rsidR="00494BC4" w:rsidRPr="00990492">
        <w:rPr>
          <w:sz w:val="22"/>
          <w:szCs w:val="22"/>
          <w:vertAlign w:val="superscript"/>
          <w:lang w:val="ro-RO"/>
        </w:rPr>
        <w:t>1</w:t>
      </w:r>
    </w:p>
    <w:p w14:paraId="70626719" w14:textId="03A2D486" w:rsidR="00494BC4" w:rsidRPr="00990492" w:rsidRDefault="00582BA0" w:rsidP="00494BC4">
      <w:pPr>
        <w:pStyle w:val="Heading1"/>
        <w:rPr>
          <w:sz w:val="22"/>
          <w:szCs w:val="24"/>
          <w:lang w:val="ro-RO"/>
        </w:rPr>
      </w:pPr>
      <w:r>
        <w:rPr>
          <w:sz w:val="22"/>
          <w:szCs w:val="24"/>
          <w:lang w:val="ro-RO"/>
        </w:rPr>
        <w:t>Context</w:t>
      </w:r>
      <w:r w:rsidR="00494BC4" w:rsidRPr="00990492">
        <w:rPr>
          <w:sz w:val="22"/>
          <w:szCs w:val="24"/>
          <w:lang w:val="ro-RO"/>
        </w:rPr>
        <w:t xml:space="preserve">: </w:t>
      </w:r>
    </w:p>
    <w:p w14:paraId="0A1A1EAD" w14:textId="562C1F7F" w:rsidR="00494BC4" w:rsidRPr="00990492" w:rsidRDefault="00582BA0" w:rsidP="00494BC4">
      <w:pPr>
        <w:rPr>
          <w:sz w:val="22"/>
          <w:szCs w:val="28"/>
          <w:lang w:val="ro-RO"/>
        </w:rPr>
      </w:pPr>
      <w:bookmarkStart w:id="4" w:name="_Hlk71871533"/>
      <w:r>
        <w:rPr>
          <w:sz w:val="22"/>
          <w:szCs w:val="28"/>
          <w:lang w:val="ro-RO"/>
        </w:rPr>
        <w:t>Orarul recomandat de OMS pentru vaccinurile</w:t>
      </w:r>
      <w:r w:rsidR="00494BC4" w:rsidRPr="00990492">
        <w:rPr>
          <w:sz w:val="22"/>
          <w:szCs w:val="28"/>
          <w:lang w:val="ro-RO"/>
        </w:rPr>
        <w:t xml:space="preserve"> ChAdOx1-S [recombinant] </w:t>
      </w:r>
      <w:bookmarkEnd w:id="4"/>
      <w:r>
        <w:rPr>
          <w:sz w:val="22"/>
          <w:szCs w:val="28"/>
          <w:lang w:val="ro-RO"/>
        </w:rPr>
        <w:t>este cel de două doze</w:t>
      </w:r>
      <w:r w:rsidR="00494BC4" w:rsidRPr="00990492">
        <w:rPr>
          <w:sz w:val="22"/>
          <w:szCs w:val="28"/>
          <w:lang w:val="ro-RO"/>
        </w:rPr>
        <w:t>,</w:t>
      </w:r>
      <w:r>
        <w:rPr>
          <w:sz w:val="22"/>
          <w:szCs w:val="28"/>
          <w:lang w:val="ro-RO"/>
        </w:rPr>
        <w:t xml:space="preserve"> administrate la o distanță de 8-12 săptămâni</w:t>
      </w:r>
      <w:r w:rsidR="00494BC4" w:rsidRPr="00990492">
        <w:rPr>
          <w:sz w:val="22"/>
          <w:szCs w:val="28"/>
          <w:lang w:val="ro-RO"/>
        </w:rPr>
        <w:t xml:space="preserve">. </w:t>
      </w:r>
      <w:r w:rsidR="00135870">
        <w:rPr>
          <w:sz w:val="22"/>
          <w:szCs w:val="28"/>
          <w:lang w:val="ro-RO"/>
        </w:rPr>
        <w:t xml:space="preserve">Datele din studiul clinic de la etapa 3 demonstrează că eficacitatea împotriva </w:t>
      </w:r>
      <w:r w:rsidR="00494BC4" w:rsidRPr="00990492">
        <w:rPr>
          <w:sz w:val="22"/>
          <w:szCs w:val="28"/>
          <w:lang w:val="ro-RO"/>
        </w:rPr>
        <w:t>COVID-19</w:t>
      </w:r>
      <w:r w:rsidR="00135870">
        <w:rPr>
          <w:sz w:val="22"/>
          <w:szCs w:val="28"/>
          <w:lang w:val="ro-RO"/>
        </w:rPr>
        <w:t xml:space="preserve"> simptomatic începe după </w:t>
      </w:r>
      <w:r w:rsidR="00494BC4" w:rsidRPr="00990492">
        <w:rPr>
          <w:sz w:val="22"/>
          <w:szCs w:val="28"/>
          <w:lang w:val="ro-RO"/>
        </w:rPr>
        <w:t>22 d</w:t>
      </w:r>
      <w:r w:rsidR="00135870">
        <w:rPr>
          <w:sz w:val="22"/>
          <w:szCs w:val="28"/>
          <w:lang w:val="ro-RO"/>
        </w:rPr>
        <w:t>e zile de la administrarea primei doze</w:t>
      </w:r>
      <w:r w:rsidR="00494BC4" w:rsidRPr="00990492">
        <w:rPr>
          <w:rStyle w:val="FootnoteReference"/>
          <w:sz w:val="22"/>
          <w:szCs w:val="28"/>
          <w:lang w:val="ro-RO"/>
        </w:rPr>
        <w:footnoteReference w:id="3"/>
      </w:r>
      <w:r w:rsidR="00135870">
        <w:rPr>
          <w:sz w:val="22"/>
          <w:szCs w:val="28"/>
          <w:lang w:val="ro-RO"/>
        </w:rPr>
        <w:t xml:space="preserve"> și mai apoi este de 76% (95%IÎ</w:t>
      </w:r>
      <w:r w:rsidR="00372912" w:rsidRPr="00990492">
        <w:rPr>
          <w:sz w:val="22"/>
          <w:szCs w:val="28"/>
          <w:lang w:val="ro-RO"/>
        </w:rPr>
        <w:t xml:space="preserve"> [</w:t>
      </w:r>
      <w:r w:rsidR="00135870">
        <w:rPr>
          <w:sz w:val="22"/>
          <w:szCs w:val="28"/>
          <w:lang w:val="ro-RO"/>
        </w:rPr>
        <w:t>interval de încredere</w:t>
      </w:r>
      <w:r w:rsidR="00372912" w:rsidRPr="00990492">
        <w:rPr>
          <w:sz w:val="22"/>
          <w:szCs w:val="28"/>
          <w:lang w:val="ro-RO"/>
        </w:rPr>
        <w:t>]</w:t>
      </w:r>
      <w:r w:rsidR="00494BC4" w:rsidRPr="00990492">
        <w:rPr>
          <w:sz w:val="22"/>
          <w:szCs w:val="28"/>
          <w:lang w:val="ro-RO"/>
        </w:rPr>
        <w:t xml:space="preserve"> 59–86</w:t>
      </w:r>
      <w:r w:rsidR="00566163" w:rsidRPr="00990492">
        <w:rPr>
          <w:sz w:val="22"/>
          <w:szCs w:val="28"/>
          <w:lang w:val="ro-RO"/>
        </w:rPr>
        <w:t>%</w:t>
      </w:r>
      <w:r w:rsidR="00135870">
        <w:rPr>
          <w:sz w:val="22"/>
          <w:szCs w:val="28"/>
          <w:lang w:val="ro-RO"/>
        </w:rPr>
        <w:t xml:space="preserve">) între ziua 22 și </w:t>
      </w:r>
      <w:r w:rsidR="00494BC4" w:rsidRPr="00990492">
        <w:rPr>
          <w:sz w:val="22"/>
          <w:szCs w:val="28"/>
          <w:lang w:val="ro-RO"/>
        </w:rPr>
        <w:t>90,</w:t>
      </w:r>
      <w:r w:rsidR="00135870">
        <w:rPr>
          <w:sz w:val="22"/>
          <w:szCs w:val="28"/>
          <w:lang w:val="ro-RO"/>
        </w:rPr>
        <w:t xml:space="preserve"> înainte de administrarea celei de-a doua doze</w:t>
      </w:r>
      <w:r w:rsidR="00494BC4" w:rsidRPr="00990492">
        <w:rPr>
          <w:sz w:val="22"/>
          <w:szCs w:val="28"/>
          <w:lang w:val="ro-RO"/>
        </w:rPr>
        <w:t xml:space="preserve">. </w:t>
      </w:r>
      <w:r w:rsidR="00135870">
        <w:rPr>
          <w:sz w:val="22"/>
          <w:szCs w:val="28"/>
          <w:lang w:val="ro-RO"/>
        </w:rPr>
        <w:t xml:space="preserve">Către ziua 90 se înregistrează un nivel minim de scădere a anticorpilor obligatorii, ceea ce este puțin probabil să fie semnificativ din punct de vedere clinic. După administrarea celei de-a doua doze, atât eficacitatea vaccinului, cât și titrul anticorpilor înregistrează un nivel mai înalt în rândul persoanelor care au avut un interval mai lung de timp până la rapel de </w:t>
      </w:r>
      <w:r w:rsidR="00494BC4" w:rsidRPr="00990492">
        <w:rPr>
          <w:sz w:val="22"/>
          <w:szCs w:val="28"/>
          <w:lang w:val="ro-RO"/>
        </w:rPr>
        <w:t xml:space="preserve">8-12 </w:t>
      </w:r>
      <w:r w:rsidR="00135870">
        <w:rPr>
          <w:sz w:val="22"/>
          <w:szCs w:val="28"/>
          <w:lang w:val="ro-RO"/>
        </w:rPr>
        <w:t>săptămâni versus &lt; 6 săptămâni. În cazul vaccinurilor cu un interval mai lung până la primul rapel (8-12 săptămâni</w:t>
      </w:r>
      <w:r w:rsidR="00494BC4" w:rsidRPr="00990492">
        <w:rPr>
          <w:sz w:val="22"/>
          <w:szCs w:val="28"/>
          <w:lang w:val="ro-RO"/>
        </w:rPr>
        <w:t>), ef</w:t>
      </w:r>
      <w:r w:rsidR="00135870">
        <w:rPr>
          <w:sz w:val="22"/>
          <w:szCs w:val="28"/>
          <w:lang w:val="ro-RO"/>
        </w:rPr>
        <w:t>icacitatea la</w:t>
      </w:r>
      <w:r w:rsidR="00494BC4" w:rsidRPr="00990492">
        <w:rPr>
          <w:sz w:val="22"/>
          <w:szCs w:val="28"/>
          <w:lang w:val="ro-RO"/>
        </w:rPr>
        <w:t xml:space="preserve"> &gt;14 </w:t>
      </w:r>
      <w:r w:rsidR="00135870">
        <w:rPr>
          <w:sz w:val="22"/>
          <w:szCs w:val="28"/>
          <w:lang w:val="ro-RO"/>
        </w:rPr>
        <w:t xml:space="preserve">zile </w:t>
      </w:r>
      <w:r w:rsidR="00135870">
        <w:rPr>
          <w:sz w:val="22"/>
          <w:szCs w:val="28"/>
          <w:lang w:val="ro-RO"/>
        </w:rPr>
        <w:lastRenderedPageBreak/>
        <w:t>după cea de-a două doză a fost de 81% (95% IÎ</w:t>
      </w:r>
      <w:r w:rsidR="00494BC4" w:rsidRPr="00990492">
        <w:rPr>
          <w:sz w:val="22"/>
          <w:szCs w:val="28"/>
          <w:lang w:val="ro-RO"/>
        </w:rPr>
        <w:t xml:space="preserve"> 60–91</w:t>
      </w:r>
      <w:r w:rsidR="00566163" w:rsidRPr="00990492">
        <w:rPr>
          <w:sz w:val="22"/>
          <w:szCs w:val="28"/>
          <w:lang w:val="ro-RO"/>
        </w:rPr>
        <w:t>%</w:t>
      </w:r>
      <w:r w:rsidR="00494BC4" w:rsidRPr="00990492">
        <w:rPr>
          <w:sz w:val="22"/>
          <w:szCs w:val="28"/>
          <w:lang w:val="ro-RO"/>
        </w:rPr>
        <w:t>).</w:t>
      </w:r>
      <w:r w:rsidR="00494BC4" w:rsidRPr="00990492">
        <w:rPr>
          <w:rStyle w:val="FootnoteReference"/>
          <w:sz w:val="22"/>
          <w:szCs w:val="28"/>
          <w:lang w:val="ro-RO"/>
        </w:rPr>
        <w:footnoteReference w:id="4"/>
      </w:r>
      <w:r w:rsidR="006431B6">
        <w:rPr>
          <w:sz w:val="22"/>
          <w:szCs w:val="28"/>
          <w:lang w:val="ro-RO"/>
        </w:rPr>
        <w:t xml:space="preserve"> Aceste date sunt </w:t>
      </w:r>
      <w:r w:rsidR="00494BC4" w:rsidRPr="00990492">
        <w:rPr>
          <w:sz w:val="22"/>
          <w:szCs w:val="28"/>
          <w:lang w:val="ro-RO"/>
        </w:rPr>
        <w:t>consistent</w:t>
      </w:r>
      <w:r w:rsidR="006431B6">
        <w:rPr>
          <w:sz w:val="22"/>
          <w:szCs w:val="28"/>
          <w:lang w:val="ro-RO"/>
        </w:rPr>
        <w:t xml:space="preserve">e cu dovezile </w:t>
      </w:r>
      <w:r w:rsidR="00E315B5">
        <w:rPr>
          <w:sz w:val="22"/>
          <w:szCs w:val="28"/>
          <w:lang w:val="ro-RO"/>
        </w:rPr>
        <w:t>precum că răspuns imun celular și umoral este stimulat mai puternic cu un interval de timp mai lung între doze</w:t>
      </w:r>
      <w:r w:rsidR="00494BC4" w:rsidRPr="00990492">
        <w:rPr>
          <w:sz w:val="22"/>
          <w:szCs w:val="28"/>
          <w:lang w:val="ro-RO"/>
        </w:rPr>
        <w:t>.</w:t>
      </w:r>
      <w:r w:rsidR="00494BC4" w:rsidRPr="00990492">
        <w:rPr>
          <w:sz w:val="22"/>
          <w:szCs w:val="28"/>
          <w:vertAlign w:val="superscript"/>
          <w:lang w:val="ro-RO"/>
        </w:rPr>
        <w:t>3,</w:t>
      </w:r>
      <w:r w:rsidR="00494BC4" w:rsidRPr="00990492">
        <w:rPr>
          <w:rStyle w:val="FootnoteReference"/>
          <w:sz w:val="22"/>
          <w:szCs w:val="28"/>
          <w:lang w:val="ro-RO"/>
        </w:rPr>
        <w:footnoteReference w:id="5"/>
      </w:r>
    </w:p>
    <w:p w14:paraId="2717783D" w14:textId="09434A34" w:rsidR="00494BC4" w:rsidRPr="00990492" w:rsidRDefault="00E315B5" w:rsidP="00494BC4">
      <w:pPr>
        <w:rPr>
          <w:sz w:val="22"/>
          <w:szCs w:val="28"/>
          <w:lang w:val="ro-RO"/>
        </w:rPr>
      </w:pPr>
      <w:r>
        <w:rPr>
          <w:sz w:val="22"/>
          <w:szCs w:val="28"/>
          <w:lang w:val="ro-RO"/>
        </w:rPr>
        <w:t>Studiile privind eficacitatea vaccinului (EV) după introducere au coroborat constatările studiilor clinice și dispun de o putere statistică mai mare pentru a evalua rezultatele bolii grave. În Regatul Unit</w:t>
      </w:r>
      <w:r w:rsidR="00494BC4" w:rsidRPr="00990492">
        <w:rPr>
          <w:sz w:val="22"/>
          <w:szCs w:val="28"/>
          <w:lang w:val="ro-RO"/>
        </w:rPr>
        <w:t>,</w:t>
      </w:r>
      <w:r>
        <w:rPr>
          <w:sz w:val="22"/>
          <w:szCs w:val="28"/>
          <w:lang w:val="ro-RO"/>
        </w:rPr>
        <w:t xml:space="preserve"> în primele 6-12 săptămâni după prima doză</w:t>
      </w:r>
      <w:r w:rsidR="00494BC4" w:rsidRPr="00990492">
        <w:rPr>
          <w:sz w:val="22"/>
          <w:szCs w:val="28"/>
          <w:lang w:val="ro-RO"/>
        </w:rPr>
        <w:t xml:space="preserve">, </w:t>
      </w:r>
      <w:r>
        <w:rPr>
          <w:sz w:val="22"/>
          <w:szCs w:val="28"/>
          <w:lang w:val="ro-RO"/>
        </w:rPr>
        <w:t>au fost înregistrată o reducere de peste 80% (95%IÎ</w:t>
      </w:r>
      <w:r w:rsidR="00494BC4" w:rsidRPr="00990492">
        <w:rPr>
          <w:sz w:val="22"/>
          <w:szCs w:val="28"/>
          <w:lang w:val="ro-RO"/>
        </w:rPr>
        <w:t xml:space="preserve"> 36</w:t>
      </w:r>
      <w:r w:rsidR="0014566E" w:rsidRPr="00990492">
        <w:rPr>
          <w:sz w:val="22"/>
          <w:szCs w:val="28"/>
          <w:lang w:val="ro-RO"/>
        </w:rPr>
        <w:t>–</w:t>
      </w:r>
      <w:r w:rsidR="00494BC4" w:rsidRPr="00990492">
        <w:rPr>
          <w:sz w:val="22"/>
          <w:szCs w:val="28"/>
          <w:lang w:val="ro-RO"/>
        </w:rPr>
        <w:t>95</w:t>
      </w:r>
      <w:r w:rsidR="0014566E" w:rsidRPr="00990492">
        <w:rPr>
          <w:sz w:val="22"/>
          <w:szCs w:val="28"/>
          <w:lang w:val="ro-RO"/>
        </w:rPr>
        <w:t>%</w:t>
      </w:r>
      <w:r>
        <w:rPr>
          <w:sz w:val="22"/>
          <w:szCs w:val="28"/>
          <w:lang w:val="ro-RO"/>
        </w:rPr>
        <w:t>) în rata de spitalizare și decese</w:t>
      </w:r>
      <w:r w:rsidR="00494BC4" w:rsidRPr="00990492">
        <w:rPr>
          <w:sz w:val="22"/>
          <w:szCs w:val="28"/>
          <w:lang w:val="ro-RO"/>
        </w:rPr>
        <w:t>.</w:t>
      </w:r>
      <w:r w:rsidR="00494BC4" w:rsidRPr="00990492">
        <w:rPr>
          <w:rStyle w:val="FootnoteReference"/>
          <w:sz w:val="22"/>
          <w:szCs w:val="28"/>
          <w:lang w:val="ro-RO"/>
        </w:rPr>
        <w:footnoteReference w:id="6"/>
      </w:r>
      <w:r w:rsidR="00494BC4" w:rsidRPr="00990492">
        <w:rPr>
          <w:sz w:val="22"/>
          <w:szCs w:val="28"/>
          <w:vertAlign w:val="superscript"/>
          <w:lang w:val="ro-RO"/>
        </w:rPr>
        <w:t>,</w:t>
      </w:r>
      <w:r w:rsidR="00494BC4" w:rsidRPr="00990492">
        <w:rPr>
          <w:rStyle w:val="FootnoteReference"/>
          <w:sz w:val="22"/>
          <w:szCs w:val="28"/>
          <w:lang w:val="ro-RO"/>
        </w:rPr>
        <w:footnoteReference w:id="7"/>
      </w:r>
      <w:r w:rsidR="00494BC4" w:rsidRPr="00990492">
        <w:rPr>
          <w:sz w:val="22"/>
          <w:szCs w:val="28"/>
          <w:vertAlign w:val="superscript"/>
          <w:lang w:val="ro-RO"/>
        </w:rPr>
        <w:t>,</w:t>
      </w:r>
      <w:r w:rsidR="00494BC4" w:rsidRPr="00990492">
        <w:rPr>
          <w:rStyle w:val="FootnoteReference"/>
          <w:sz w:val="22"/>
          <w:szCs w:val="28"/>
          <w:lang w:val="ro-RO"/>
        </w:rPr>
        <w:footnoteReference w:id="8"/>
      </w:r>
      <w:r w:rsidR="00494BC4" w:rsidRPr="00990492">
        <w:rPr>
          <w:sz w:val="22"/>
          <w:szCs w:val="28"/>
          <w:vertAlign w:val="superscript"/>
          <w:lang w:val="ro-RO"/>
        </w:rPr>
        <w:t>,</w:t>
      </w:r>
      <w:r w:rsidR="00494BC4" w:rsidRPr="00990492">
        <w:rPr>
          <w:rStyle w:val="FootnoteReference"/>
          <w:sz w:val="22"/>
          <w:szCs w:val="28"/>
          <w:lang w:val="ro-RO"/>
        </w:rPr>
        <w:footnoteReference w:id="9"/>
      </w:r>
      <w:r w:rsidR="00072895" w:rsidRPr="00990492">
        <w:rPr>
          <w:sz w:val="22"/>
          <w:szCs w:val="28"/>
          <w:vertAlign w:val="superscript"/>
          <w:lang w:val="ro-RO"/>
        </w:rPr>
        <w:t xml:space="preserve"> </w:t>
      </w:r>
      <w:r>
        <w:rPr>
          <w:sz w:val="22"/>
          <w:szCs w:val="28"/>
          <w:lang w:val="ro-RO"/>
        </w:rPr>
        <w:t xml:space="preserve">Aceste studii observaționale indică asupra faptului că nivelul de protecție împotriva formei grave a bolii este robust în aceste 12 </w:t>
      </w:r>
      <w:r w:rsidR="005B5615">
        <w:rPr>
          <w:sz w:val="22"/>
          <w:szCs w:val="28"/>
          <w:lang w:val="ro-RO"/>
        </w:rPr>
        <w:t>săptămâni de la administrarea primei doze</w:t>
      </w:r>
      <w:r w:rsidR="00494BC4" w:rsidRPr="00990492">
        <w:rPr>
          <w:sz w:val="22"/>
          <w:szCs w:val="28"/>
          <w:lang w:val="ro-RO"/>
        </w:rPr>
        <w:t>.</w:t>
      </w:r>
    </w:p>
    <w:p w14:paraId="4A6C8823" w14:textId="703C9C89" w:rsidR="00494BC4" w:rsidRPr="00990492" w:rsidRDefault="005B5615" w:rsidP="001F595F">
      <w:pPr>
        <w:pStyle w:val="Heading1"/>
        <w:spacing w:before="0" w:after="0"/>
        <w:rPr>
          <w:sz w:val="22"/>
          <w:szCs w:val="24"/>
          <w:lang w:val="ro-RO"/>
        </w:rPr>
      </w:pPr>
      <w:r>
        <w:rPr>
          <w:sz w:val="22"/>
          <w:szCs w:val="24"/>
          <w:lang w:val="ro-RO"/>
        </w:rPr>
        <w:t xml:space="preserve">Care este durata și </w:t>
      </w:r>
      <w:r w:rsidR="004473A6">
        <w:rPr>
          <w:sz w:val="22"/>
          <w:szCs w:val="24"/>
          <w:lang w:val="ro-RO"/>
        </w:rPr>
        <w:t>amploarea protecției împotriva COVID-19 a primei doze dincolo de 12 săptămâni</w:t>
      </w:r>
      <w:r w:rsidR="00494BC4" w:rsidRPr="00990492">
        <w:rPr>
          <w:sz w:val="22"/>
          <w:szCs w:val="24"/>
          <w:lang w:val="ro-RO"/>
        </w:rPr>
        <w:t xml:space="preserve">? </w:t>
      </w:r>
    </w:p>
    <w:p w14:paraId="40AF8799" w14:textId="00CF71D0" w:rsidR="00494BC4" w:rsidRPr="00990492" w:rsidRDefault="004473A6" w:rsidP="001F595F">
      <w:pPr>
        <w:spacing w:after="0"/>
        <w:rPr>
          <w:sz w:val="22"/>
          <w:szCs w:val="28"/>
          <w:lang w:val="ro-RO"/>
        </w:rPr>
      </w:pPr>
      <w:r>
        <w:rPr>
          <w:sz w:val="22"/>
          <w:szCs w:val="28"/>
          <w:lang w:val="ro-RO"/>
        </w:rPr>
        <w:t>Sunt puține informații privind protecția clinică doar cu o singură doză dincolo de</w:t>
      </w:r>
      <w:r w:rsidR="00494BC4" w:rsidRPr="00990492">
        <w:rPr>
          <w:sz w:val="22"/>
          <w:szCs w:val="28"/>
          <w:lang w:val="ro-RO"/>
        </w:rPr>
        <w:t xml:space="preserve"> 12 </w:t>
      </w:r>
      <w:r>
        <w:rPr>
          <w:sz w:val="22"/>
          <w:szCs w:val="28"/>
          <w:lang w:val="ro-RO"/>
        </w:rPr>
        <w:t>săptămâni</w:t>
      </w:r>
      <w:r w:rsidR="00494BC4" w:rsidRPr="00990492">
        <w:rPr>
          <w:sz w:val="22"/>
          <w:szCs w:val="28"/>
          <w:lang w:val="ro-RO"/>
        </w:rPr>
        <w:t>.</w:t>
      </w:r>
      <w:r w:rsidR="00072895" w:rsidRPr="00990492">
        <w:rPr>
          <w:sz w:val="22"/>
          <w:szCs w:val="28"/>
          <w:lang w:val="ro-RO"/>
        </w:rPr>
        <w:t xml:space="preserve"> </w:t>
      </w:r>
      <w:r>
        <w:rPr>
          <w:sz w:val="22"/>
          <w:szCs w:val="28"/>
          <w:lang w:val="ro-RO"/>
        </w:rPr>
        <w:t>Studiul clinic de la etapa 3 a inclus un număr relativ mic de persoane care au primit a doua doză dincolo de 12 săptămâni</w:t>
      </w:r>
      <w:r w:rsidR="00494BC4" w:rsidRPr="00990492">
        <w:rPr>
          <w:sz w:val="22"/>
          <w:szCs w:val="28"/>
          <w:lang w:val="ro-RO"/>
        </w:rPr>
        <w:t>.</w:t>
      </w:r>
      <w:r>
        <w:rPr>
          <w:sz w:val="22"/>
          <w:szCs w:val="28"/>
          <w:lang w:val="ro-RO"/>
        </w:rPr>
        <w:t xml:space="preserve"> Studiile de eficacitate și cele observaționale privind programele naționale de vaccinare sunt limitate la un interval între doze de nu mai mult de 12 săptămâni. Totuși, anticorpii obligatorii împotriva proteinei spike COVID-19 înregistrează doar o degradare lentă pe parcursul perioadei de 6 luni</w:t>
      </w:r>
      <w:r w:rsidR="00494BC4" w:rsidRPr="00990492">
        <w:rPr>
          <w:sz w:val="22"/>
          <w:szCs w:val="28"/>
          <w:lang w:val="ro-RO"/>
        </w:rPr>
        <w:t>.</w:t>
      </w:r>
      <w:r w:rsidR="00494BC4" w:rsidRPr="00990492">
        <w:rPr>
          <w:sz w:val="22"/>
          <w:szCs w:val="28"/>
          <w:vertAlign w:val="superscript"/>
          <w:lang w:val="ro-RO"/>
        </w:rPr>
        <w:t>3</w:t>
      </w:r>
      <w:r w:rsidR="00072895" w:rsidRPr="00990492">
        <w:rPr>
          <w:sz w:val="22"/>
          <w:szCs w:val="28"/>
          <w:vertAlign w:val="superscript"/>
          <w:lang w:val="ro-RO"/>
        </w:rPr>
        <w:t xml:space="preserve"> </w:t>
      </w:r>
      <w:r>
        <w:rPr>
          <w:sz w:val="22"/>
          <w:szCs w:val="28"/>
          <w:lang w:val="ro-RO"/>
        </w:rPr>
        <w:t>Corelarea imunologică a protecției doar urmează să fie stabilită</w:t>
      </w:r>
      <w:r w:rsidR="00494BC4" w:rsidRPr="00990492">
        <w:rPr>
          <w:sz w:val="22"/>
          <w:szCs w:val="28"/>
          <w:lang w:val="ro-RO"/>
        </w:rPr>
        <w:t>,</w:t>
      </w:r>
      <w:r>
        <w:rPr>
          <w:sz w:val="22"/>
          <w:szCs w:val="28"/>
          <w:lang w:val="ro-RO"/>
        </w:rPr>
        <w:t xml:space="preserve"> dar anticorpii persistă pe parcursul unei durate de cel puțin 26 de săptămâni după prima doză, totuși la un nivel mai mic în comparație cu nivelul de vârf de anticorpi</w:t>
      </w:r>
      <w:r w:rsidR="00494BC4" w:rsidRPr="00990492">
        <w:rPr>
          <w:sz w:val="22"/>
          <w:szCs w:val="28"/>
          <w:lang w:val="ro-RO"/>
        </w:rPr>
        <w:t>.</w:t>
      </w:r>
      <w:r w:rsidR="00072895" w:rsidRPr="00990492">
        <w:rPr>
          <w:sz w:val="22"/>
          <w:szCs w:val="28"/>
          <w:lang w:val="ro-RO"/>
        </w:rPr>
        <w:t xml:space="preserve"> </w:t>
      </w:r>
      <w:r>
        <w:rPr>
          <w:sz w:val="22"/>
          <w:szCs w:val="28"/>
          <w:lang w:val="ro-RO"/>
        </w:rPr>
        <w:t>Deoarece vaccinurile</w:t>
      </w:r>
      <w:r w:rsidR="00494BC4" w:rsidRPr="00990492">
        <w:rPr>
          <w:sz w:val="22"/>
          <w:szCs w:val="28"/>
          <w:lang w:val="ro-RO"/>
        </w:rPr>
        <w:t xml:space="preserve"> ChAdOx1-S [recombinant]</w:t>
      </w:r>
      <w:r>
        <w:rPr>
          <w:sz w:val="22"/>
          <w:szCs w:val="28"/>
          <w:lang w:val="ro-RO"/>
        </w:rPr>
        <w:t xml:space="preserve"> includ atât un răspuns la celula T cât și </w:t>
      </w:r>
      <w:r w:rsidR="00494BC4" w:rsidRPr="00990492">
        <w:rPr>
          <w:sz w:val="22"/>
          <w:szCs w:val="28"/>
          <w:lang w:val="ro-RO"/>
        </w:rPr>
        <w:t>l</w:t>
      </w:r>
      <w:r>
        <w:rPr>
          <w:sz w:val="22"/>
          <w:szCs w:val="28"/>
          <w:lang w:val="ro-RO"/>
        </w:rPr>
        <w:t>a celula B, este probabil că există un anumit grad de protecție împotriva bolii clinice oferite de o singură doză și dincolo de 12 săptămâni, în special împotriva formei grave a bolii</w:t>
      </w:r>
      <w:r w:rsidR="00494BC4" w:rsidRPr="00990492">
        <w:rPr>
          <w:sz w:val="22"/>
          <w:szCs w:val="28"/>
          <w:lang w:val="ro-RO"/>
        </w:rPr>
        <w:t>,</w:t>
      </w:r>
      <w:r>
        <w:rPr>
          <w:sz w:val="22"/>
          <w:szCs w:val="28"/>
          <w:lang w:val="ro-RO"/>
        </w:rPr>
        <w:t xml:space="preserve"> care este definită drept o formă ce necesități spitalizare sau cauzează deces. Totuși, la moment nu sunt disponibile date pentru a cuantifica această constatare</w:t>
      </w:r>
      <w:r w:rsidR="00494BC4" w:rsidRPr="00990492">
        <w:rPr>
          <w:sz w:val="22"/>
          <w:szCs w:val="28"/>
          <w:lang w:val="ro-RO"/>
        </w:rPr>
        <w:t>.</w:t>
      </w:r>
      <w:r>
        <w:rPr>
          <w:sz w:val="22"/>
          <w:szCs w:val="28"/>
          <w:lang w:val="ro-RO"/>
        </w:rPr>
        <w:t xml:space="preserve"> Atât factorul de seroconversie, cât și titru de anticorpi sunt doar </w:t>
      </w:r>
      <w:r w:rsidR="00DD5C62">
        <w:rPr>
          <w:sz w:val="22"/>
          <w:szCs w:val="28"/>
          <w:lang w:val="ro-RO"/>
        </w:rPr>
        <w:t>puțin</w:t>
      </w:r>
      <w:r>
        <w:rPr>
          <w:sz w:val="22"/>
          <w:szCs w:val="28"/>
          <w:lang w:val="ro-RO"/>
        </w:rPr>
        <w:t xml:space="preserve"> mai reduse în rândul adulților în vârstă </w:t>
      </w:r>
      <w:r w:rsidR="00DD5C62">
        <w:rPr>
          <w:sz w:val="22"/>
          <w:szCs w:val="28"/>
          <w:lang w:val="ro-RO"/>
        </w:rPr>
        <w:t>după administrarea unei doze, în comparație cu adulții tineri</w:t>
      </w:r>
      <w:r w:rsidR="00494BC4" w:rsidRPr="00990492">
        <w:rPr>
          <w:sz w:val="22"/>
          <w:szCs w:val="28"/>
          <w:lang w:val="ro-RO"/>
        </w:rPr>
        <w:t>.</w:t>
      </w:r>
      <w:r w:rsidR="00072895" w:rsidRPr="00990492">
        <w:rPr>
          <w:sz w:val="22"/>
          <w:szCs w:val="28"/>
          <w:lang w:val="ro-RO"/>
        </w:rPr>
        <w:t xml:space="preserve"> </w:t>
      </w:r>
    </w:p>
    <w:p w14:paraId="28F1CD1A" w14:textId="717B1480" w:rsidR="00494BC4" w:rsidRPr="00990492" w:rsidRDefault="00C86692" w:rsidP="001F595F">
      <w:pPr>
        <w:pStyle w:val="Heading1"/>
        <w:spacing w:before="0" w:after="0"/>
        <w:rPr>
          <w:sz w:val="22"/>
          <w:lang w:val="ro-RO"/>
        </w:rPr>
      </w:pPr>
      <w:r>
        <w:rPr>
          <w:sz w:val="22"/>
          <w:lang w:val="ro-RO"/>
        </w:rPr>
        <w:t>Într-o situație de aprovizionare limitată</w:t>
      </w:r>
      <w:r w:rsidR="00494BC4" w:rsidRPr="00990492">
        <w:rPr>
          <w:sz w:val="22"/>
          <w:lang w:val="ro-RO"/>
        </w:rPr>
        <w:t xml:space="preserve">, </w:t>
      </w:r>
      <w:r>
        <w:rPr>
          <w:sz w:val="22"/>
          <w:lang w:val="ro-RO"/>
        </w:rPr>
        <w:t xml:space="preserve">care sunt dovezile privind utilizarea unui produs diferit de vaccin </w:t>
      </w:r>
      <w:r w:rsidR="00494BC4" w:rsidRPr="00990492">
        <w:rPr>
          <w:sz w:val="22"/>
          <w:lang w:val="ro-RO"/>
        </w:rPr>
        <w:t>(</w:t>
      </w:r>
      <w:r>
        <w:rPr>
          <w:sz w:val="22"/>
          <w:lang w:val="ro-RO"/>
        </w:rPr>
        <w:t>dacă este disponibil</w:t>
      </w:r>
      <w:r w:rsidR="00494BC4" w:rsidRPr="00990492">
        <w:rPr>
          <w:sz w:val="22"/>
          <w:lang w:val="ro-RO"/>
        </w:rPr>
        <w:t>)</w:t>
      </w:r>
      <w:r>
        <w:rPr>
          <w:sz w:val="22"/>
          <w:lang w:val="ro-RO"/>
        </w:rPr>
        <w:t xml:space="preserve"> drept a doua doză</w:t>
      </w:r>
      <w:r w:rsidR="00494BC4" w:rsidRPr="00990492">
        <w:rPr>
          <w:sz w:val="22"/>
          <w:lang w:val="ro-RO"/>
        </w:rPr>
        <w:t>,</w:t>
      </w:r>
      <w:r>
        <w:rPr>
          <w:sz w:val="22"/>
          <w:lang w:val="ro-RO"/>
        </w:rPr>
        <w:t xml:space="preserve"> pentru a înlocui vaccinul ChAdOx1-S [recombinant]</w:t>
      </w:r>
      <w:r w:rsidR="00494BC4" w:rsidRPr="00990492">
        <w:rPr>
          <w:sz w:val="22"/>
          <w:lang w:val="ro-RO"/>
        </w:rPr>
        <w:t>?</w:t>
      </w:r>
    </w:p>
    <w:p w14:paraId="5F563416" w14:textId="244B38A4" w:rsidR="00494BC4" w:rsidRPr="00990492" w:rsidRDefault="00C86692" w:rsidP="001F595F">
      <w:pPr>
        <w:spacing w:after="0"/>
        <w:rPr>
          <w:sz w:val="22"/>
          <w:szCs w:val="28"/>
          <w:lang w:val="ro-RO"/>
        </w:rPr>
      </w:pPr>
      <w:r>
        <w:rPr>
          <w:sz w:val="22"/>
          <w:szCs w:val="28"/>
          <w:lang w:val="ro-RO"/>
        </w:rPr>
        <w:t xml:space="preserve">Deoarece toate vaccinurile anti-COVID-19 la moment autorizate cuprind aceeași țintă </w:t>
      </w:r>
      <w:r w:rsidR="00494BC4" w:rsidRPr="00990492">
        <w:rPr>
          <w:sz w:val="22"/>
          <w:szCs w:val="28"/>
          <w:lang w:val="ro-RO"/>
        </w:rPr>
        <w:t>(</w:t>
      </w:r>
      <w:r>
        <w:rPr>
          <w:sz w:val="22"/>
          <w:szCs w:val="28"/>
          <w:lang w:val="ro-RO"/>
        </w:rPr>
        <w:t xml:space="preserve">proteina </w:t>
      </w:r>
      <w:r w:rsidR="00494BC4" w:rsidRPr="00990492">
        <w:rPr>
          <w:sz w:val="22"/>
          <w:szCs w:val="28"/>
          <w:lang w:val="ro-RO"/>
        </w:rPr>
        <w:t xml:space="preserve">spike), </w:t>
      </w:r>
      <w:r>
        <w:rPr>
          <w:sz w:val="22"/>
          <w:szCs w:val="28"/>
          <w:lang w:val="ro-RO"/>
        </w:rPr>
        <w:t>ar fi de așteptat ca un vaccin</w:t>
      </w:r>
      <w:r w:rsidR="00494BC4" w:rsidRPr="00990492">
        <w:rPr>
          <w:sz w:val="22"/>
          <w:szCs w:val="28"/>
          <w:lang w:val="ro-RO"/>
        </w:rPr>
        <w:t xml:space="preserve"> heterolog</w:t>
      </w:r>
      <w:r>
        <w:rPr>
          <w:sz w:val="22"/>
          <w:szCs w:val="28"/>
          <w:lang w:val="ro-RO"/>
        </w:rPr>
        <w:t xml:space="preserve"> </w:t>
      </w:r>
      <w:r w:rsidR="00494BC4" w:rsidRPr="00990492">
        <w:rPr>
          <w:sz w:val="22"/>
          <w:szCs w:val="28"/>
          <w:lang w:val="ro-RO"/>
        </w:rPr>
        <w:t>(</w:t>
      </w:r>
      <w:r>
        <w:rPr>
          <w:sz w:val="22"/>
          <w:szCs w:val="28"/>
          <w:lang w:val="ro-RO"/>
        </w:rPr>
        <w:t>combinat și potrivit</w:t>
      </w:r>
      <w:r w:rsidR="00494BC4" w:rsidRPr="00990492">
        <w:rPr>
          <w:sz w:val="22"/>
          <w:szCs w:val="28"/>
          <w:lang w:val="ro-RO"/>
        </w:rPr>
        <w:t xml:space="preserve">) </w:t>
      </w:r>
      <w:r>
        <w:rPr>
          <w:sz w:val="22"/>
          <w:szCs w:val="28"/>
          <w:lang w:val="ro-RO"/>
        </w:rPr>
        <w:t>anti-</w:t>
      </w:r>
      <w:r w:rsidR="00494BC4" w:rsidRPr="00990492">
        <w:rPr>
          <w:sz w:val="22"/>
          <w:szCs w:val="28"/>
          <w:lang w:val="ro-RO"/>
        </w:rPr>
        <w:t>COVID-19</w:t>
      </w:r>
      <w:r>
        <w:rPr>
          <w:sz w:val="22"/>
          <w:szCs w:val="28"/>
          <w:lang w:val="ro-RO"/>
        </w:rPr>
        <w:t xml:space="preserve"> utilizat drept a doua doză să stimuleze răspunsul imun. Un șir de țări </w:t>
      </w:r>
      <w:r w:rsidR="00494BC4" w:rsidRPr="00990492">
        <w:rPr>
          <w:sz w:val="22"/>
          <w:szCs w:val="28"/>
          <w:lang w:val="ro-RO"/>
        </w:rPr>
        <w:t>(</w:t>
      </w:r>
      <w:r>
        <w:rPr>
          <w:sz w:val="22"/>
          <w:szCs w:val="28"/>
          <w:lang w:val="ro-RO"/>
        </w:rPr>
        <w:t>de ex. Germania</w:t>
      </w:r>
      <w:r w:rsidR="00494BC4" w:rsidRPr="00990492">
        <w:rPr>
          <w:sz w:val="22"/>
          <w:szCs w:val="28"/>
          <w:lang w:val="ro-RO"/>
        </w:rPr>
        <w:t>, Fran</w:t>
      </w:r>
      <w:r>
        <w:rPr>
          <w:sz w:val="22"/>
          <w:szCs w:val="28"/>
          <w:lang w:val="ro-RO"/>
        </w:rPr>
        <w:t>ța</w:t>
      </w:r>
      <w:r w:rsidR="00494BC4" w:rsidRPr="00990492">
        <w:rPr>
          <w:sz w:val="22"/>
          <w:szCs w:val="28"/>
          <w:lang w:val="ro-RO"/>
        </w:rPr>
        <w:t>, S</w:t>
      </w:r>
      <w:r>
        <w:rPr>
          <w:sz w:val="22"/>
          <w:szCs w:val="28"/>
          <w:lang w:val="ro-RO"/>
        </w:rPr>
        <w:t>uedia</w:t>
      </w:r>
      <w:r w:rsidR="00494BC4" w:rsidRPr="00990492">
        <w:rPr>
          <w:sz w:val="22"/>
          <w:szCs w:val="28"/>
          <w:lang w:val="ro-RO"/>
        </w:rPr>
        <w:t>, Finland</w:t>
      </w:r>
      <w:r>
        <w:rPr>
          <w:sz w:val="22"/>
          <w:szCs w:val="28"/>
          <w:lang w:val="ro-RO"/>
        </w:rPr>
        <w:t>a</w:t>
      </w:r>
      <w:r w:rsidR="00494BC4" w:rsidRPr="00990492">
        <w:rPr>
          <w:sz w:val="22"/>
          <w:szCs w:val="28"/>
          <w:lang w:val="ro-RO"/>
        </w:rPr>
        <w:t>, D</w:t>
      </w:r>
      <w:r>
        <w:rPr>
          <w:sz w:val="22"/>
          <w:szCs w:val="28"/>
          <w:lang w:val="ro-RO"/>
        </w:rPr>
        <w:t>anemarca și Norvegia) au introdus un orar de combinare și potrivire, drept rezultat al introducerii restricțiilor de vârstă pentru vaccinurile</w:t>
      </w:r>
      <w:r w:rsidR="00494BC4" w:rsidRPr="00990492">
        <w:rPr>
          <w:sz w:val="22"/>
          <w:szCs w:val="28"/>
          <w:lang w:val="ro-RO"/>
        </w:rPr>
        <w:t xml:space="preserve"> </w:t>
      </w:r>
      <w:r>
        <w:rPr>
          <w:sz w:val="22"/>
          <w:szCs w:val="28"/>
          <w:lang w:val="ro-RO"/>
        </w:rPr>
        <w:t>ChAdOx1-S [recombinant]</w:t>
      </w:r>
      <w:r w:rsidR="00494BC4" w:rsidRPr="00990492">
        <w:rPr>
          <w:sz w:val="22"/>
          <w:szCs w:val="28"/>
          <w:lang w:val="ro-RO"/>
        </w:rPr>
        <w:t>.</w:t>
      </w:r>
      <w:r w:rsidR="00072895" w:rsidRPr="00990492">
        <w:rPr>
          <w:sz w:val="22"/>
          <w:szCs w:val="28"/>
          <w:lang w:val="ro-RO"/>
        </w:rPr>
        <w:t xml:space="preserve"> </w:t>
      </w:r>
      <w:r>
        <w:rPr>
          <w:sz w:val="22"/>
          <w:szCs w:val="28"/>
          <w:lang w:val="ro-RO"/>
        </w:rPr>
        <w:t>Aceste restricții de vârstă au fost introduse în unele țări pentru a minimiza riscul foarte redus de tromboză cu sindrom de trombocitopenie (TTS), care a fost observat</w:t>
      </w:r>
      <w:r w:rsidR="00494BC4" w:rsidRPr="00990492">
        <w:rPr>
          <w:rStyle w:val="FootnoteReference"/>
          <w:sz w:val="22"/>
          <w:szCs w:val="28"/>
          <w:lang w:val="ro-RO"/>
        </w:rPr>
        <w:footnoteReference w:id="10"/>
      </w:r>
      <w:r w:rsidR="00494BC4" w:rsidRPr="00990492">
        <w:rPr>
          <w:sz w:val="22"/>
          <w:szCs w:val="28"/>
          <w:lang w:val="ro-RO"/>
        </w:rPr>
        <w:t>. Dat</w:t>
      </w:r>
      <w:r>
        <w:rPr>
          <w:sz w:val="22"/>
          <w:szCs w:val="28"/>
          <w:lang w:val="ro-RO"/>
        </w:rPr>
        <w:t xml:space="preserve">ele cu privire la imunogenitate și eficacitatea clinică </w:t>
      </w:r>
      <w:r w:rsidR="00123AB6">
        <w:rPr>
          <w:sz w:val="22"/>
          <w:szCs w:val="28"/>
          <w:lang w:val="ro-RO"/>
        </w:rPr>
        <w:t xml:space="preserve">a </w:t>
      </w:r>
      <w:r>
        <w:rPr>
          <w:sz w:val="22"/>
          <w:szCs w:val="28"/>
          <w:lang w:val="ro-RO"/>
        </w:rPr>
        <w:t>str</w:t>
      </w:r>
      <w:r w:rsidR="00123AB6">
        <w:rPr>
          <w:sz w:val="22"/>
          <w:szCs w:val="28"/>
          <w:lang w:val="ro-RO"/>
        </w:rPr>
        <w:t>ategiei, precum și dozajele vizate încă nu sunt cunoscute. În baza principiilor imunologice</w:t>
      </w:r>
      <w:r w:rsidR="00494BC4" w:rsidRPr="00990492">
        <w:rPr>
          <w:sz w:val="22"/>
          <w:szCs w:val="28"/>
          <w:lang w:val="ro-RO"/>
        </w:rPr>
        <w:t>,</w:t>
      </w:r>
      <w:r w:rsidR="00123AB6">
        <w:rPr>
          <w:sz w:val="22"/>
          <w:szCs w:val="28"/>
          <w:lang w:val="ro-RO"/>
        </w:rPr>
        <w:t xml:space="preserve"> ar fi de așteptat ca stimularea răspunsului imun să apară</w:t>
      </w:r>
      <w:r w:rsidR="00494BC4" w:rsidRPr="00990492">
        <w:rPr>
          <w:sz w:val="22"/>
          <w:szCs w:val="28"/>
          <w:lang w:val="ro-RO"/>
        </w:rPr>
        <w:t>.</w:t>
      </w:r>
      <w:r w:rsidR="00072895" w:rsidRPr="00990492">
        <w:rPr>
          <w:sz w:val="22"/>
          <w:szCs w:val="28"/>
          <w:lang w:val="ro-RO"/>
        </w:rPr>
        <w:t xml:space="preserve"> </w:t>
      </w:r>
      <w:r w:rsidR="00494BC4" w:rsidRPr="00990492">
        <w:rPr>
          <w:sz w:val="22"/>
          <w:szCs w:val="28"/>
          <w:lang w:val="ro-RO"/>
        </w:rPr>
        <w:t>Dat</w:t>
      </w:r>
      <w:r w:rsidR="00123AB6">
        <w:rPr>
          <w:sz w:val="22"/>
          <w:szCs w:val="28"/>
          <w:lang w:val="ro-RO"/>
        </w:rPr>
        <w:t>ele privind siguranța unui orar combinat sunt preliminare,</w:t>
      </w:r>
      <w:r w:rsidR="00E1310B">
        <w:rPr>
          <w:sz w:val="22"/>
          <w:szCs w:val="28"/>
          <w:lang w:val="ro-RO"/>
        </w:rPr>
        <w:t xml:space="preserve"> conform celor de</w:t>
      </w:r>
      <w:r w:rsidR="00123AB6">
        <w:rPr>
          <w:sz w:val="22"/>
          <w:szCs w:val="28"/>
          <w:lang w:val="ro-RO"/>
        </w:rPr>
        <w:t xml:space="preserve"> mai jos</w:t>
      </w:r>
      <w:r w:rsidR="00494BC4" w:rsidRPr="00990492">
        <w:rPr>
          <w:sz w:val="22"/>
          <w:szCs w:val="28"/>
          <w:lang w:val="ro-RO"/>
        </w:rPr>
        <w:t xml:space="preserve">. </w:t>
      </w:r>
    </w:p>
    <w:p w14:paraId="09192170" w14:textId="2C1DA27C" w:rsidR="00494BC4" w:rsidRPr="00990492" w:rsidRDefault="00494BC4" w:rsidP="00494BC4">
      <w:pPr>
        <w:rPr>
          <w:sz w:val="22"/>
          <w:szCs w:val="28"/>
          <w:lang w:val="ro-RO"/>
        </w:rPr>
      </w:pPr>
      <w:r w:rsidRPr="00990492">
        <w:rPr>
          <w:sz w:val="22"/>
          <w:szCs w:val="28"/>
          <w:lang w:val="ro-RO"/>
        </w:rPr>
        <w:lastRenderedPageBreak/>
        <w:t>Dat</w:t>
      </w:r>
      <w:r w:rsidR="00123AB6">
        <w:rPr>
          <w:sz w:val="22"/>
          <w:szCs w:val="28"/>
          <w:lang w:val="ro-RO"/>
        </w:rPr>
        <w:t>ele din doar două studii combinare și potrivire la moment sunt disponibile în versiune de până-la-imprimare și</w:t>
      </w:r>
      <w:r w:rsidR="00E1310B">
        <w:rPr>
          <w:sz w:val="22"/>
          <w:szCs w:val="28"/>
          <w:lang w:val="ro-RO"/>
        </w:rPr>
        <w:t xml:space="preserve"> implică vaccinul </w:t>
      </w:r>
      <w:r w:rsidRPr="00990492">
        <w:rPr>
          <w:sz w:val="22"/>
          <w:szCs w:val="28"/>
          <w:lang w:val="ro-RO"/>
        </w:rPr>
        <w:t xml:space="preserve">ChAdOx1-S </w:t>
      </w:r>
      <w:r w:rsidR="00A51888" w:rsidRPr="00990492">
        <w:rPr>
          <w:sz w:val="22"/>
          <w:szCs w:val="28"/>
          <w:lang w:val="ro-RO"/>
        </w:rPr>
        <w:t xml:space="preserve">[recombinant] </w:t>
      </w:r>
      <w:r w:rsidR="00E1310B">
        <w:rPr>
          <w:sz w:val="22"/>
          <w:szCs w:val="28"/>
          <w:lang w:val="ro-RO"/>
        </w:rPr>
        <w:t>și vaccinul Pfizer</w:t>
      </w:r>
      <w:r w:rsidRPr="00990492">
        <w:rPr>
          <w:sz w:val="22"/>
          <w:szCs w:val="28"/>
          <w:lang w:val="ro-RO"/>
        </w:rPr>
        <w:t>.</w:t>
      </w:r>
      <w:r w:rsidR="00072895" w:rsidRPr="00990492">
        <w:rPr>
          <w:sz w:val="22"/>
          <w:szCs w:val="28"/>
          <w:lang w:val="ro-RO"/>
        </w:rPr>
        <w:t xml:space="preserve"> </w:t>
      </w:r>
      <w:r w:rsidR="00E1310B">
        <w:rPr>
          <w:sz w:val="22"/>
          <w:szCs w:val="28"/>
          <w:lang w:val="ro-RO"/>
        </w:rPr>
        <w:t xml:space="preserve">Studiul din RU investighează utilizând două doze de același vaccin </w:t>
      </w:r>
      <w:r w:rsidRPr="00990492">
        <w:rPr>
          <w:sz w:val="22"/>
          <w:szCs w:val="28"/>
          <w:lang w:val="ro-RO"/>
        </w:rPr>
        <w:t>(</w:t>
      </w:r>
      <w:r w:rsidR="00E1310B">
        <w:rPr>
          <w:sz w:val="22"/>
          <w:szCs w:val="28"/>
          <w:lang w:val="ro-RO"/>
        </w:rPr>
        <w:t>fie vaccinul ChAdOx1-S [recombinant] fie Pfizer BNT162b2) versus o combinație a acestor două vaccinuri</w:t>
      </w:r>
      <w:r w:rsidRPr="00990492">
        <w:rPr>
          <w:sz w:val="22"/>
          <w:szCs w:val="28"/>
          <w:lang w:val="ro-RO"/>
        </w:rPr>
        <w:t xml:space="preserve">; </w:t>
      </w:r>
      <w:r w:rsidR="00E1310B">
        <w:rPr>
          <w:sz w:val="22"/>
          <w:szCs w:val="28"/>
          <w:lang w:val="ro-RO"/>
        </w:rPr>
        <w:t>studiul constată precum că se înregistrează o creștere a reactogenității după cea de-a doua doză, când aceste două vaccinuri sunt administrate într-un orar mixt</w:t>
      </w:r>
      <w:r w:rsidRPr="00990492">
        <w:rPr>
          <w:sz w:val="22"/>
          <w:szCs w:val="28"/>
          <w:lang w:val="ro-RO"/>
        </w:rPr>
        <w:t>.</w:t>
      </w:r>
      <w:r w:rsidR="00072895" w:rsidRPr="00990492">
        <w:rPr>
          <w:sz w:val="22"/>
          <w:szCs w:val="28"/>
          <w:lang w:val="ro-RO"/>
        </w:rPr>
        <w:t xml:space="preserve"> </w:t>
      </w:r>
      <w:r w:rsidRPr="00990492">
        <w:rPr>
          <w:sz w:val="22"/>
          <w:szCs w:val="28"/>
          <w:lang w:val="ro-RO"/>
        </w:rPr>
        <w:t>S</w:t>
      </w:r>
      <w:r w:rsidR="00E1310B">
        <w:rPr>
          <w:sz w:val="22"/>
          <w:szCs w:val="28"/>
          <w:lang w:val="ro-RO"/>
        </w:rPr>
        <w:t>imptomele înregistrate de participanții la studiu, care au primit o combinație de vaccinuri au inclus rate sporite de febră, oboseală, frisoane și dureri de cap în comparație cu participanții care au primit același vaccin pentru ambele doze</w:t>
      </w:r>
      <w:r w:rsidRPr="00990492">
        <w:rPr>
          <w:sz w:val="22"/>
          <w:szCs w:val="28"/>
          <w:lang w:val="ro-RO"/>
        </w:rPr>
        <w:t>.</w:t>
      </w:r>
      <w:r w:rsidRPr="00990492">
        <w:rPr>
          <w:rStyle w:val="FootnoteReference"/>
          <w:sz w:val="22"/>
          <w:szCs w:val="28"/>
          <w:lang w:val="ro-RO"/>
        </w:rPr>
        <w:footnoteReference w:id="11"/>
      </w:r>
      <w:r w:rsidR="00E1310B">
        <w:rPr>
          <w:sz w:val="22"/>
          <w:szCs w:val="28"/>
          <w:lang w:val="ro-RO"/>
        </w:rPr>
        <w:t xml:space="preserve"> Rezultatele privind imunogenicitatea din acest studiu încă nu sunt disponibile</w:t>
      </w:r>
      <w:r w:rsidRPr="00990492">
        <w:rPr>
          <w:sz w:val="22"/>
          <w:szCs w:val="28"/>
          <w:lang w:val="ro-RO"/>
        </w:rPr>
        <w:t>.</w:t>
      </w:r>
      <w:r w:rsidR="00E1310B">
        <w:rPr>
          <w:sz w:val="22"/>
          <w:szCs w:val="28"/>
          <w:lang w:val="ro-RO"/>
        </w:rPr>
        <w:t xml:space="preserve"> Nu sunt disponibile nici dovezi de protecția în cazul programului combinat și potrivit de vaccinare, care include vaccinul</w:t>
      </w:r>
      <w:r w:rsidRPr="00990492">
        <w:rPr>
          <w:sz w:val="22"/>
          <w:szCs w:val="28"/>
          <w:lang w:val="ro-RO"/>
        </w:rPr>
        <w:t xml:space="preserve"> ChAdOx1-S </w:t>
      </w:r>
      <w:r w:rsidR="00A51888" w:rsidRPr="00990492">
        <w:rPr>
          <w:sz w:val="22"/>
          <w:szCs w:val="28"/>
          <w:lang w:val="ro-RO"/>
        </w:rPr>
        <w:t xml:space="preserve">[recombinant] </w:t>
      </w:r>
      <w:r w:rsidR="00E1310B">
        <w:rPr>
          <w:sz w:val="22"/>
          <w:szCs w:val="28"/>
          <w:lang w:val="ro-RO"/>
        </w:rPr>
        <w:t>împotriva infecției SARS-CoV-2 și bolii</w:t>
      </w:r>
      <w:r w:rsidRPr="00990492">
        <w:rPr>
          <w:sz w:val="22"/>
          <w:szCs w:val="28"/>
          <w:lang w:val="ro-RO"/>
        </w:rPr>
        <w:t xml:space="preserve"> COVID-19.</w:t>
      </w:r>
      <w:r w:rsidR="00072895" w:rsidRPr="00990492">
        <w:rPr>
          <w:sz w:val="22"/>
          <w:szCs w:val="28"/>
          <w:lang w:val="ro-RO"/>
        </w:rPr>
        <w:t xml:space="preserve"> </w:t>
      </w:r>
    </w:p>
    <w:p w14:paraId="24247951" w14:textId="6F9BB399" w:rsidR="00494BC4" w:rsidRPr="00990492" w:rsidRDefault="00E1310B" w:rsidP="00494BC4">
      <w:pPr>
        <w:rPr>
          <w:sz w:val="22"/>
          <w:szCs w:val="22"/>
          <w:lang w:val="ro-RO"/>
        </w:rPr>
      </w:pPr>
      <w:r>
        <w:rPr>
          <w:sz w:val="22"/>
          <w:szCs w:val="22"/>
          <w:lang w:val="ro-RO"/>
        </w:rPr>
        <w:t xml:space="preserve">Ținând cont de absența datelor privind imunogenicitatea și creșterea </w:t>
      </w:r>
      <w:r w:rsidR="000D2076">
        <w:rPr>
          <w:sz w:val="22"/>
          <w:szCs w:val="22"/>
          <w:lang w:val="ro-RO"/>
        </w:rPr>
        <w:t>reactogeni</w:t>
      </w:r>
      <w:r w:rsidR="00494BC4" w:rsidRPr="00990492">
        <w:rPr>
          <w:sz w:val="22"/>
          <w:szCs w:val="22"/>
          <w:lang w:val="ro-RO"/>
        </w:rPr>
        <w:t>t</w:t>
      </w:r>
      <w:r>
        <w:rPr>
          <w:sz w:val="22"/>
          <w:szCs w:val="22"/>
          <w:lang w:val="ro-RO"/>
        </w:rPr>
        <w:t xml:space="preserve">ății când a doua doză de vaccin este schimbată de la vaccinul </w:t>
      </w:r>
      <w:r w:rsidR="00494BC4" w:rsidRPr="00990492">
        <w:rPr>
          <w:sz w:val="22"/>
          <w:szCs w:val="22"/>
          <w:lang w:val="ro-RO"/>
        </w:rPr>
        <w:t>Ch</w:t>
      </w:r>
      <w:r>
        <w:rPr>
          <w:sz w:val="22"/>
          <w:szCs w:val="22"/>
          <w:lang w:val="ro-RO"/>
        </w:rPr>
        <w:t>AdOx1-S [recombinant] în vaccinul</w:t>
      </w:r>
      <w:r w:rsidR="00494BC4" w:rsidRPr="00990492">
        <w:rPr>
          <w:sz w:val="22"/>
          <w:szCs w:val="22"/>
          <w:lang w:val="ro-RO"/>
        </w:rPr>
        <w:t xml:space="preserve"> </w:t>
      </w:r>
      <w:r>
        <w:rPr>
          <w:rFonts w:eastAsia="Calibri"/>
          <w:color w:val="000000" w:themeColor="text1"/>
          <w:sz w:val="22"/>
          <w:szCs w:val="22"/>
          <w:lang w:val="ro-RO"/>
        </w:rPr>
        <w:t>Pfizer BNT162b2</w:t>
      </w:r>
      <w:r>
        <w:rPr>
          <w:sz w:val="22"/>
          <w:szCs w:val="22"/>
          <w:lang w:val="ro-RO"/>
        </w:rPr>
        <w:t xml:space="preserve">, țărilor li se recomandă să aștepte </w:t>
      </w:r>
      <w:r w:rsidR="00B3516C">
        <w:rPr>
          <w:sz w:val="22"/>
          <w:szCs w:val="22"/>
          <w:lang w:val="ro-RO"/>
        </w:rPr>
        <w:t>datele favorabile de imunogenicitate din studiile privind interschimbabilitatea vaccinurilor înainte de a decide asupra unui astfel de program combinat și potrivit. Alte studii cu alte combinații de vaccinuri și vaccinul ChAdOx1-S [recombinant]</w:t>
      </w:r>
      <w:r w:rsidR="00494BC4" w:rsidRPr="00990492">
        <w:rPr>
          <w:sz w:val="22"/>
          <w:szCs w:val="22"/>
          <w:lang w:val="ro-RO"/>
        </w:rPr>
        <w:t>,</w:t>
      </w:r>
      <w:r w:rsidR="00B3516C">
        <w:rPr>
          <w:sz w:val="22"/>
          <w:szCs w:val="22"/>
          <w:lang w:val="ro-RO"/>
        </w:rPr>
        <w:t xml:space="preserve"> în cadrul unui program combinat și potrivit, încă n-au fost finalizate</w:t>
      </w:r>
      <w:r w:rsidR="00494BC4" w:rsidRPr="00990492">
        <w:rPr>
          <w:sz w:val="22"/>
          <w:szCs w:val="22"/>
          <w:lang w:val="ro-RO"/>
        </w:rPr>
        <w:t>.</w:t>
      </w:r>
    </w:p>
    <w:p w14:paraId="264ED1AC" w14:textId="4B7B4AB3" w:rsidR="00494BC4" w:rsidRPr="00990492" w:rsidRDefault="007A0361" w:rsidP="00494BC4">
      <w:pPr>
        <w:pStyle w:val="Heading1"/>
        <w:keepNext/>
        <w:keepLines/>
        <w:rPr>
          <w:sz w:val="22"/>
          <w:szCs w:val="24"/>
          <w:lang w:val="ro-RO"/>
        </w:rPr>
      </w:pPr>
      <w:r>
        <w:rPr>
          <w:sz w:val="22"/>
          <w:szCs w:val="24"/>
          <w:lang w:val="ro-RO"/>
        </w:rPr>
        <w:t xml:space="preserve">Care ar fi impactul întârzierii </w:t>
      </w:r>
      <w:r w:rsidR="00F53E29">
        <w:rPr>
          <w:sz w:val="22"/>
          <w:szCs w:val="24"/>
          <w:lang w:val="ro-RO"/>
        </w:rPr>
        <w:t>dozei II a vaccinului</w:t>
      </w:r>
      <w:r w:rsidR="00494BC4" w:rsidRPr="00990492">
        <w:rPr>
          <w:sz w:val="22"/>
          <w:szCs w:val="24"/>
          <w:lang w:val="ro-RO"/>
        </w:rPr>
        <w:t xml:space="preserve"> ChAdOx1-S [recombinant] </w:t>
      </w:r>
      <w:r w:rsidR="00F53E29">
        <w:rPr>
          <w:sz w:val="22"/>
          <w:szCs w:val="24"/>
          <w:lang w:val="ro-RO"/>
        </w:rPr>
        <w:t xml:space="preserve">împotriva variantelor de îngrijorare </w:t>
      </w:r>
      <w:r w:rsidR="00494BC4" w:rsidRPr="00990492">
        <w:rPr>
          <w:sz w:val="22"/>
          <w:szCs w:val="24"/>
          <w:lang w:val="ro-RO"/>
        </w:rPr>
        <w:t xml:space="preserve">(VOC)? </w:t>
      </w:r>
    </w:p>
    <w:p w14:paraId="38CE84A2" w14:textId="0B59F8A7" w:rsidR="00494BC4" w:rsidRPr="00990492" w:rsidRDefault="00F53E29" w:rsidP="00494BC4">
      <w:pPr>
        <w:keepNext/>
        <w:keepLines/>
        <w:rPr>
          <w:sz w:val="22"/>
          <w:szCs w:val="28"/>
          <w:lang w:val="ro-RO"/>
        </w:rPr>
      </w:pPr>
      <w:r>
        <w:rPr>
          <w:sz w:val="22"/>
          <w:szCs w:val="28"/>
          <w:lang w:val="ro-RO"/>
        </w:rPr>
        <w:t xml:space="preserve">Sunt dovezi emergente de eficacitate protectivă a vaccinului </w:t>
      </w:r>
      <w:r w:rsidR="00494BC4" w:rsidRPr="00990492">
        <w:rPr>
          <w:sz w:val="22"/>
          <w:szCs w:val="28"/>
          <w:lang w:val="ro-RO"/>
        </w:rPr>
        <w:t>ChAdOx1</w:t>
      </w:r>
      <w:r>
        <w:rPr>
          <w:sz w:val="22"/>
          <w:szCs w:val="28"/>
          <w:lang w:val="ro-RO"/>
        </w:rPr>
        <w:t>-S [recombinant] împotriva VOC. Studiile clinice la etapa 3 și studiile observaționale relevă că în contextul transmiterii B.1.1.7, nivelul de eficacitate și eficiență s-a menținut sau s-a redus doar ușor</w:t>
      </w:r>
      <w:r w:rsidR="00494BC4" w:rsidRPr="00990492">
        <w:rPr>
          <w:sz w:val="22"/>
          <w:szCs w:val="28"/>
          <w:lang w:val="ro-RO"/>
        </w:rPr>
        <w:t>.</w:t>
      </w:r>
      <w:r w:rsidR="00494BC4" w:rsidRPr="00990492">
        <w:rPr>
          <w:rStyle w:val="FootnoteReference"/>
          <w:sz w:val="22"/>
          <w:szCs w:val="28"/>
          <w:lang w:val="ro-RO"/>
        </w:rPr>
        <w:footnoteReference w:id="12"/>
      </w:r>
      <w:r w:rsidR="00494BC4" w:rsidRPr="00990492">
        <w:rPr>
          <w:sz w:val="22"/>
          <w:szCs w:val="28"/>
          <w:vertAlign w:val="superscript"/>
          <w:lang w:val="ro-RO"/>
        </w:rPr>
        <w:t>,</w:t>
      </w:r>
      <w:r w:rsidR="00494BC4" w:rsidRPr="00990492">
        <w:rPr>
          <w:rStyle w:val="FootnoteReference"/>
          <w:sz w:val="22"/>
          <w:szCs w:val="28"/>
          <w:lang w:val="ro-RO"/>
        </w:rPr>
        <w:footnoteReference w:id="13"/>
      </w:r>
      <w:r w:rsidR="00494BC4" w:rsidRPr="00990492">
        <w:rPr>
          <w:sz w:val="22"/>
          <w:szCs w:val="28"/>
          <w:vertAlign w:val="superscript"/>
          <w:lang w:val="ro-RO"/>
        </w:rPr>
        <w:t>,</w:t>
      </w:r>
      <w:r w:rsidR="00494BC4" w:rsidRPr="00990492">
        <w:rPr>
          <w:rStyle w:val="FootnoteReference"/>
          <w:sz w:val="22"/>
          <w:szCs w:val="28"/>
          <w:lang w:val="ro-RO"/>
        </w:rPr>
        <w:footnoteReference w:id="14"/>
      </w:r>
      <w:r w:rsidR="00494BC4" w:rsidRPr="00990492">
        <w:rPr>
          <w:sz w:val="22"/>
          <w:szCs w:val="28"/>
          <w:lang w:val="ro-RO"/>
        </w:rPr>
        <w:t xml:space="preserve"> Dat</w:t>
      </w:r>
      <w:r>
        <w:rPr>
          <w:sz w:val="22"/>
          <w:szCs w:val="28"/>
          <w:lang w:val="ro-RO"/>
        </w:rPr>
        <w:t>ele împotriva P.1 încă nu sunt disponibile</w:t>
      </w:r>
      <w:r w:rsidR="00494BC4" w:rsidRPr="00990492">
        <w:rPr>
          <w:sz w:val="22"/>
          <w:szCs w:val="28"/>
          <w:lang w:val="ro-RO"/>
        </w:rPr>
        <w:t>. Dat</w:t>
      </w:r>
      <w:r>
        <w:rPr>
          <w:sz w:val="22"/>
          <w:szCs w:val="28"/>
          <w:lang w:val="ro-RO"/>
        </w:rPr>
        <w:t xml:space="preserve">ele privind eficacitatea vaccinului </w:t>
      </w:r>
      <w:r w:rsidR="00494BC4" w:rsidRPr="00990492">
        <w:rPr>
          <w:sz w:val="22"/>
          <w:szCs w:val="28"/>
          <w:lang w:val="ro-RO"/>
        </w:rPr>
        <w:t xml:space="preserve">ChAdOx1-S [recombinant] </w:t>
      </w:r>
      <w:r>
        <w:rPr>
          <w:sz w:val="22"/>
          <w:szCs w:val="28"/>
          <w:lang w:val="ro-RO"/>
        </w:rPr>
        <w:t xml:space="preserve">împotriva P.1.617.2 relevă că o singură doză oferă doar protecție limitată împotriva acestei </w:t>
      </w:r>
      <w:r w:rsidR="00494BC4" w:rsidRPr="00990492">
        <w:rPr>
          <w:sz w:val="22"/>
          <w:szCs w:val="28"/>
          <w:lang w:val="ro-RO"/>
        </w:rPr>
        <w:t>VOC.</w:t>
      </w:r>
      <w:r w:rsidR="00072895" w:rsidRPr="00990492">
        <w:rPr>
          <w:sz w:val="22"/>
          <w:szCs w:val="28"/>
          <w:lang w:val="ro-RO"/>
        </w:rPr>
        <w:t xml:space="preserve"> </w:t>
      </w:r>
      <w:r>
        <w:rPr>
          <w:sz w:val="22"/>
          <w:szCs w:val="28"/>
          <w:lang w:val="ro-RO"/>
        </w:rPr>
        <w:t>Două doze oferă o protecție mai bună, doar ușor mai redusă decât împotriva B.1.1.7</w:t>
      </w:r>
      <w:r w:rsidR="00494BC4" w:rsidRPr="00990492">
        <w:rPr>
          <w:rStyle w:val="FootnoteReference"/>
          <w:sz w:val="22"/>
          <w:szCs w:val="28"/>
          <w:lang w:val="ro-RO"/>
        </w:rPr>
        <w:footnoteReference w:id="15"/>
      </w:r>
      <w:r w:rsidR="00494BC4" w:rsidRPr="00990492">
        <w:rPr>
          <w:sz w:val="22"/>
          <w:szCs w:val="28"/>
          <w:lang w:val="ro-RO"/>
        </w:rPr>
        <w:t>.</w:t>
      </w:r>
      <w:r w:rsidR="00072895" w:rsidRPr="00990492">
        <w:rPr>
          <w:sz w:val="22"/>
          <w:szCs w:val="28"/>
          <w:lang w:val="ro-RO"/>
        </w:rPr>
        <w:t xml:space="preserve"> </w:t>
      </w:r>
      <w:r>
        <w:rPr>
          <w:sz w:val="22"/>
          <w:szCs w:val="28"/>
          <w:lang w:val="ro-RO"/>
        </w:rPr>
        <w:t>Sunt disponibile date limitate privind eficacitatea împotriva bolii clinice pentru B.1.351</w:t>
      </w:r>
      <w:r w:rsidR="00494BC4" w:rsidRPr="00990492">
        <w:rPr>
          <w:sz w:val="22"/>
          <w:szCs w:val="28"/>
          <w:lang w:val="ro-RO"/>
        </w:rPr>
        <w:t>.</w:t>
      </w:r>
      <w:r w:rsidR="00072895" w:rsidRPr="00990492">
        <w:rPr>
          <w:sz w:val="22"/>
          <w:szCs w:val="28"/>
          <w:lang w:val="ro-RO"/>
        </w:rPr>
        <w:t xml:space="preserve"> </w:t>
      </w:r>
      <w:r>
        <w:rPr>
          <w:sz w:val="22"/>
          <w:szCs w:val="28"/>
          <w:lang w:val="ro-RO"/>
        </w:rPr>
        <w:t xml:space="preserve">Un singur studiu mic de eficacitate din Africa de Sud n-a </w:t>
      </w:r>
      <w:r w:rsidR="001F595F">
        <w:rPr>
          <w:sz w:val="22"/>
          <w:szCs w:val="28"/>
          <w:lang w:val="ro-RO"/>
        </w:rPr>
        <w:t>demonstrat eficacitate semnificativă din punct de vedere statistic împotriva formei ușoare – moderate a bolii</w:t>
      </w:r>
      <w:r w:rsidR="00494BC4" w:rsidRPr="00990492">
        <w:rPr>
          <w:sz w:val="22"/>
          <w:szCs w:val="28"/>
          <w:lang w:val="ro-RO"/>
        </w:rPr>
        <w:t>,</w:t>
      </w:r>
      <w:r w:rsidR="001F595F">
        <w:rPr>
          <w:sz w:val="22"/>
          <w:szCs w:val="28"/>
          <w:lang w:val="ro-RO"/>
        </w:rPr>
        <w:t xml:space="preserve"> însă acesta n-a fost menit să abordeze dacă vaccinul ar fi protectiv împotriva formei grave a bolii</w:t>
      </w:r>
      <w:r w:rsidR="00494BC4" w:rsidRPr="00990492">
        <w:rPr>
          <w:sz w:val="22"/>
          <w:szCs w:val="28"/>
          <w:lang w:val="ro-RO"/>
        </w:rPr>
        <w:t>.</w:t>
      </w:r>
      <w:r w:rsidR="00494BC4" w:rsidRPr="00990492">
        <w:rPr>
          <w:rStyle w:val="FootnoteReference"/>
          <w:sz w:val="22"/>
          <w:szCs w:val="28"/>
          <w:lang w:val="ro-RO"/>
        </w:rPr>
        <w:footnoteReference w:id="16"/>
      </w:r>
      <w:r w:rsidR="00072895" w:rsidRPr="00990492">
        <w:rPr>
          <w:sz w:val="22"/>
          <w:szCs w:val="28"/>
          <w:lang w:val="ro-RO"/>
        </w:rPr>
        <w:t xml:space="preserve"> </w:t>
      </w:r>
      <w:r w:rsidR="001F595F">
        <w:rPr>
          <w:sz w:val="22"/>
          <w:szCs w:val="28"/>
          <w:lang w:val="ro-RO"/>
        </w:rPr>
        <w:t>Sunt disponibile date limitate privind protecția împotriva VOC după administrarea doar a unei doze și sunt insuficiente pentru a trage concluzii</w:t>
      </w:r>
      <w:r w:rsidR="00494BC4" w:rsidRPr="00990492">
        <w:rPr>
          <w:sz w:val="22"/>
          <w:szCs w:val="28"/>
          <w:lang w:val="ro-RO"/>
        </w:rPr>
        <w:t xml:space="preserve">. </w:t>
      </w:r>
    </w:p>
    <w:p w14:paraId="65C309D3" w14:textId="6C9B1E88" w:rsidR="00494BC4" w:rsidRPr="00990492" w:rsidRDefault="00EC03E2" w:rsidP="00494BC4">
      <w:pPr>
        <w:rPr>
          <w:sz w:val="22"/>
          <w:szCs w:val="28"/>
          <w:lang w:val="ro-RO"/>
        </w:rPr>
      </w:pPr>
      <w:r>
        <w:rPr>
          <w:sz w:val="22"/>
          <w:szCs w:val="28"/>
          <w:lang w:val="ro-RO"/>
        </w:rPr>
        <w:t>Dovezile curente sugerează că titrele mai mari de anticorpi sunt asociate cu protecție mai bună împotriva formei grave a bolii</w:t>
      </w:r>
      <w:r w:rsidR="00494BC4" w:rsidRPr="00990492">
        <w:rPr>
          <w:sz w:val="22"/>
          <w:szCs w:val="28"/>
          <w:lang w:val="ro-RO"/>
        </w:rPr>
        <w:t>.</w:t>
      </w:r>
      <w:r w:rsidR="00494BC4" w:rsidRPr="00990492">
        <w:rPr>
          <w:rStyle w:val="FootnoteReference"/>
          <w:sz w:val="22"/>
          <w:szCs w:val="28"/>
          <w:lang w:val="ro-RO"/>
        </w:rPr>
        <w:footnoteReference w:id="17"/>
      </w:r>
      <w:r w:rsidR="00072895" w:rsidRPr="00990492">
        <w:rPr>
          <w:sz w:val="22"/>
          <w:szCs w:val="28"/>
          <w:lang w:val="ro-RO"/>
        </w:rPr>
        <w:t xml:space="preserve"> </w:t>
      </w:r>
      <w:r w:rsidR="00494BC4" w:rsidRPr="00990492">
        <w:rPr>
          <w:sz w:val="22"/>
          <w:szCs w:val="28"/>
          <w:lang w:val="ro-RO"/>
        </w:rPr>
        <w:t>Ad</w:t>
      </w:r>
      <w:r>
        <w:rPr>
          <w:sz w:val="22"/>
          <w:szCs w:val="28"/>
          <w:lang w:val="ro-RO"/>
        </w:rPr>
        <w:t>ițional, sunt dovezi care sugerează că nivele mai mari de anticorpi sunt necesare pentru a neutraliza unele VOC</w:t>
      </w:r>
      <w:r w:rsidR="00494BC4" w:rsidRPr="00990492">
        <w:rPr>
          <w:sz w:val="22"/>
          <w:szCs w:val="28"/>
          <w:lang w:val="ro-RO"/>
        </w:rPr>
        <w:t>.</w:t>
      </w:r>
      <w:r w:rsidR="00494BC4" w:rsidRPr="00990492">
        <w:rPr>
          <w:rStyle w:val="FootnoteReference"/>
          <w:sz w:val="22"/>
          <w:szCs w:val="28"/>
          <w:lang w:val="ro-RO"/>
        </w:rPr>
        <w:footnoteReference w:id="18"/>
      </w:r>
      <w:r w:rsidR="00072895" w:rsidRPr="00990492">
        <w:rPr>
          <w:sz w:val="22"/>
          <w:szCs w:val="28"/>
          <w:lang w:val="ro-RO"/>
        </w:rPr>
        <w:t xml:space="preserve"> </w:t>
      </w:r>
      <w:r w:rsidR="00494BC4" w:rsidRPr="00990492">
        <w:rPr>
          <w:sz w:val="22"/>
          <w:szCs w:val="28"/>
          <w:lang w:val="ro-RO"/>
        </w:rPr>
        <w:t>Studi</w:t>
      </w:r>
      <w:r>
        <w:rPr>
          <w:sz w:val="22"/>
          <w:szCs w:val="28"/>
          <w:lang w:val="ro-RO"/>
        </w:rPr>
        <w:t xml:space="preserve">ile privind anticorpii drept urmare a imunizării cu vaccinul </w:t>
      </w:r>
      <w:r w:rsidR="00494BC4" w:rsidRPr="00990492">
        <w:rPr>
          <w:sz w:val="22"/>
          <w:szCs w:val="28"/>
          <w:lang w:val="ro-RO"/>
        </w:rPr>
        <w:t>ChAdOx1-S [recombinant] vaccine</w:t>
      </w:r>
      <w:r w:rsidR="00494BC4" w:rsidRPr="00990492" w:rsidDel="00F77443">
        <w:rPr>
          <w:sz w:val="22"/>
          <w:szCs w:val="28"/>
          <w:lang w:val="ro-RO"/>
        </w:rPr>
        <w:t xml:space="preserve"> </w:t>
      </w:r>
      <w:r>
        <w:rPr>
          <w:sz w:val="22"/>
          <w:szCs w:val="28"/>
          <w:lang w:val="ro-RO"/>
        </w:rPr>
        <w:t xml:space="preserve">împotriva </w:t>
      </w:r>
      <w:r>
        <w:rPr>
          <w:sz w:val="22"/>
          <w:szCs w:val="28"/>
          <w:lang w:val="ro-RO"/>
        </w:rPr>
        <w:lastRenderedPageBreak/>
        <w:t>B.1.351, P.1 și</w:t>
      </w:r>
      <w:r w:rsidR="00D94AEF">
        <w:rPr>
          <w:sz w:val="22"/>
          <w:szCs w:val="28"/>
          <w:lang w:val="ro-RO"/>
        </w:rPr>
        <w:t xml:space="preserve"> B.1.617 relevă că activitatea de neutralizare este mai mică decât împotriva tulpinii</w:t>
      </w:r>
      <w:r w:rsidR="00494BC4" w:rsidRPr="00990492">
        <w:rPr>
          <w:sz w:val="22"/>
          <w:szCs w:val="28"/>
          <w:lang w:val="ro-RO"/>
        </w:rPr>
        <w:t xml:space="preserve"> ancestral</w:t>
      </w:r>
      <w:r w:rsidR="00D94AEF">
        <w:rPr>
          <w:sz w:val="22"/>
          <w:szCs w:val="28"/>
          <w:lang w:val="ro-RO"/>
        </w:rPr>
        <w:t>e</w:t>
      </w:r>
      <w:r w:rsidR="00494BC4" w:rsidRPr="00990492">
        <w:rPr>
          <w:sz w:val="22"/>
          <w:szCs w:val="28"/>
          <w:lang w:val="ro-RO"/>
        </w:rPr>
        <w:t>.</w:t>
      </w:r>
      <w:r w:rsidR="00494BC4" w:rsidRPr="00990492">
        <w:rPr>
          <w:rStyle w:val="FootnoteReference"/>
          <w:sz w:val="22"/>
          <w:szCs w:val="28"/>
          <w:lang w:val="ro-RO"/>
        </w:rPr>
        <w:footnoteReference w:id="19"/>
      </w:r>
      <w:r w:rsidR="00494BC4" w:rsidRPr="00990492">
        <w:rPr>
          <w:sz w:val="22"/>
          <w:szCs w:val="28"/>
          <w:vertAlign w:val="superscript"/>
          <w:lang w:val="ro-RO"/>
        </w:rPr>
        <w:t>,</w:t>
      </w:r>
      <w:r w:rsidR="00494BC4" w:rsidRPr="00990492">
        <w:rPr>
          <w:rStyle w:val="FootnoteReference"/>
          <w:sz w:val="22"/>
          <w:szCs w:val="28"/>
          <w:lang w:val="ro-RO"/>
        </w:rPr>
        <w:footnoteReference w:id="20"/>
      </w:r>
      <w:r w:rsidR="00494BC4" w:rsidRPr="00990492">
        <w:rPr>
          <w:sz w:val="22"/>
          <w:szCs w:val="28"/>
          <w:vertAlign w:val="superscript"/>
          <w:lang w:val="ro-RO"/>
        </w:rPr>
        <w:t>,</w:t>
      </w:r>
      <w:r w:rsidR="00494BC4" w:rsidRPr="00990492">
        <w:rPr>
          <w:rStyle w:val="FootnoteReference"/>
          <w:sz w:val="22"/>
          <w:szCs w:val="28"/>
          <w:lang w:val="ro-RO"/>
        </w:rPr>
        <w:footnoteReference w:id="21"/>
      </w:r>
      <w:r w:rsidR="00072895" w:rsidRPr="00990492">
        <w:rPr>
          <w:sz w:val="22"/>
          <w:szCs w:val="28"/>
          <w:lang w:val="ro-RO"/>
        </w:rPr>
        <w:t xml:space="preserve"> </w:t>
      </w:r>
      <w:r w:rsidR="00E55C74">
        <w:rPr>
          <w:sz w:val="22"/>
          <w:szCs w:val="28"/>
          <w:lang w:val="ro-RO"/>
        </w:rPr>
        <w:t>Această informație este relevantă deoarece vaccinarea cu o singură doză rezultă în titre mai mici de anticorpi</w:t>
      </w:r>
      <w:r w:rsidR="00494BC4" w:rsidRPr="00990492">
        <w:rPr>
          <w:sz w:val="22"/>
          <w:szCs w:val="28"/>
          <w:lang w:val="ro-RO"/>
        </w:rPr>
        <w:t>.</w:t>
      </w:r>
      <w:r w:rsidR="00E55C74">
        <w:rPr>
          <w:sz w:val="22"/>
          <w:szCs w:val="28"/>
          <w:lang w:val="ro-RO"/>
        </w:rPr>
        <w:t xml:space="preserve"> La moment nu se cunoaște dacă acest fapt se transpune în eficacitate mai redusă împotriva </w:t>
      </w:r>
      <w:r w:rsidR="00494BC4" w:rsidRPr="00990492">
        <w:rPr>
          <w:sz w:val="22"/>
          <w:szCs w:val="28"/>
          <w:lang w:val="ro-RO"/>
        </w:rPr>
        <w:t>VOC</w:t>
      </w:r>
      <w:r w:rsidR="00E55C74">
        <w:rPr>
          <w:sz w:val="22"/>
          <w:szCs w:val="28"/>
          <w:lang w:val="ro-RO"/>
        </w:rPr>
        <w:t>. Este posibil ca eficacitatea împotriva formei ușoare-</w:t>
      </w:r>
      <w:r w:rsidR="00494BC4" w:rsidRPr="00990492">
        <w:rPr>
          <w:sz w:val="22"/>
          <w:szCs w:val="28"/>
          <w:lang w:val="ro-RO"/>
        </w:rPr>
        <w:t xml:space="preserve">moderate </w:t>
      </w:r>
      <w:r w:rsidR="00E55C74">
        <w:rPr>
          <w:sz w:val="22"/>
          <w:szCs w:val="28"/>
          <w:lang w:val="ro-RO"/>
        </w:rPr>
        <w:t>a bolii se reduce</w:t>
      </w:r>
      <w:r w:rsidR="00494BC4" w:rsidRPr="00990492">
        <w:rPr>
          <w:sz w:val="22"/>
          <w:szCs w:val="28"/>
          <w:lang w:val="ro-RO"/>
        </w:rPr>
        <w:t>,</w:t>
      </w:r>
      <w:r w:rsidR="00E55C74">
        <w:rPr>
          <w:sz w:val="22"/>
          <w:szCs w:val="28"/>
          <w:lang w:val="ro-RO"/>
        </w:rPr>
        <w:t xml:space="preserve"> dar este mai păstrată împotriva formei grave a bolii</w:t>
      </w:r>
      <w:r w:rsidR="00494BC4" w:rsidRPr="00990492">
        <w:rPr>
          <w:sz w:val="22"/>
          <w:szCs w:val="28"/>
          <w:lang w:val="ro-RO"/>
        </w:rPr>
        <w:t>,</w:t>
      </w:r>
      <w:r w:rsidR="00E55C74">
        <w:rPr>
          <w:sz w:val="22"/>
          <w:szCs w:val="28"/>
          <w:lang w:val="ro-RO"/>
        </w:rPr>
        <w:t xml:space="preserve"> însă nu sunt încă date disponibile pentru a oferi un răspuns la această întrebare</w:t>
      </w:r>
      <w:r w:rsidR="00494BC4" w:rsidRPr="00990492">
        <w:rPr>
          <w:sz w:val="22"/>
          <w:szCs w:val="28"/>
          <w:lang w:val="ro-RO"/>
        </w:rPr>
        <w:t xml:space="preserve">. </w:t>
      </w:r>
    </w:p>
    <w:p w14:paraId="065CCEBB" w14:textId="39E55ECC" w:rsidR="00494BC4" w:rsidRPr="00990492" w:rsidRDefault="00E55C74" w:rsidP="00494BC4">
      <w:pPr>
        <w:pStyle w:val="Heading1"/>
        <w:rPr>
          <w:sz w:val="22"/>
          <w:lang w:val="ro-RO"/>
        </w:rPr>
      </w:pPr>
      <w:r>
        <w:rPr>
          <w:sz w:val="22"/>
          <w:lang w:val="ro-RO"/>
        </w:rPr>
        <w:t xml:space="preserve">Odată cu disponibilitatea aprovizionării cu vaccinul </w:t>
      </w:r>
      <w:r w:rsidR="00494BC4" w:rsidRPr="00990492">
        <w:rPr>
          <w:sz w:val="22"/>
          <w:lang w:val="ro-RO"/>
        </w:rPr>
        <w:t>ChAdOx1-S [recomb</w:t>
      </w:r>
      <w:r>
        <w:rPr>
          <w:sz w:val="22"/>
          <w:lang w:val="ro-RO"/>
        </w:rPr>
        <w:t>inant]</w:t>
      </w:r>
      <w:r w:rsidR="00494BC4" w:rsidRPr="00990492">
        <w:rPr>
          <w:sz w:val="22"/>
          <w:lang w:val="ro-RO"/>
        </w:rPr>
        <w:t xml:space="preserve">, </w:t>
      </w:r>
      <w:r>
        <w:rPr>
          <w:sz w:val="22"/>
          <w:lang w:val="ro-RO"/>
        </w:rPr>
        <w:t>care sunt dovezile privind utilizarea furnizării date pentru a oferi a doua doză sau pentru a spori în continuare acoperirea populației cu prima doză</w:t>
      </w:r>
      <w:r w:rsidR="00494BC4" w:rsidRPr="00990492">
        <w:rPr>
          <w:sz w:val="22"/>
          <w:lang w:val="ro-RO"/>
        </w:rPr>
        <w:t>?</w:t>
      </w:r>
    </w:p>
    <w:p w14:paraId="31737EB4" w14:textId="13F48CF3" w:rsidR="00494BC4" w:rsidRPr="00990492" w:rsidRDefault="00E55C74" w:rsidP="00494BC4">
      <w:pPr>
        <w:rPr>
          <w:sz w:val="22"/>
          <w:szCs w:val="28"/>
          <w:lang w:val="ro-RO"/>
        </w:rPr>
      </w:pPr>
      <w:r>
        <w:rPr>
          <w:sz w:val="22"/>
          <w:szCs w:val="28"/>
          <w:lang w:val="ro-RO"/>
        </w:rPr>
        <w:t>Răspunsul la această întrebare depinde de diverși factori: pe lângă problemele ce țin de performanța vaccinului, descriși mai sus</w:t>
      </w:r>
      <w:r w:rsidR="00494BC4" w:rsidRPr="00990492">
        <w:rPr>
          <w:sz w:val="22"/>
          <w:szCs w:val="28"/>
          <w:lang w:val="ro-RO"/>
        </w:rPr>
        <w:t xml:space="preserve">, </w:t>
      </w:r>
      <w:r w:rsidR="00FD0311">
        <w:rPr>
          <w:sz w:val="22"/>
          <w:szCs w:val="28"/>
          <w:lang w:val="ro-RO"/>
        </w:rPr>
        <w:t xml:space="preserve">trebuie să fie luate în considerație particularitățile specifice țării, cum ar fi gravitatea situației epidemiologice </w:t>
      </w:r>
      <w:r w:rsidR="00494BC4" w:rsidRPr="00990492">
        <w:rPr>
          <w:sz w:val="22"/>
          <w:szCs w:val="28"/>
          <w:lang w:val="ro-RO"/>
        </w:rPr>
        <w:t>CO</w:t>
      </w:r>
      <w:r w:rsidR="00FD0311">
        <w:rPr>
          <w:sz w:val="22"/>
          <w:szCs w:val="28"/>
          <w:lang w:val="ro-RO"/>
        </w:rPr>
        <w:t>VID-19</w:t>
      </w:r>
      <w:r w:rsidR="00494BC4" w:rsidRPr="00990492">
        <w:rPr>
          <w:sz w:val="22"/>
          <w:szCs w:val="28"/>
          <w:lang w:val="ro-RO"/>
        </w:rPr>
        <w:t>, acces</w:t>
      </w:r>
      <w:r w:rsidR="00FD0311">
        <w:rPr>
          <w:sz w:val="22"/>
          <w:szCs w:val="28"/>
          <w:lang w:val="ro-RO"/>
        </w:rPr>
        <w:t>ul la servicii de sănătate</w:t>
      </w:r>
      <w:r w:rsidR="00494BC4" w:rsidRPr="00990492">
        <w:rPr>
          <w:sz w:val="22"/>
          <w:szCs w:val="28"/>
          <w:lang w:val="ro-RO"/>
        </w:rPr>
        <w:t>, progres</w:t>
      </w:r>
      <w:r w:rsidR="00FD0311">
        <w:rPr>
          <w:sz w:val="22"/>
          <w:szCs w:val="28"/>
          <w:lang w:val="ro-RO"/>
        </w:rPr>
        <w:t xml:space="preserve">ul privind acoperirea cu vaccin în rândul populației de prioritate înaltă </w:t>
      </w:r>
      <w:r w:rsidR="00494BC4" w:rsidRPr="00990492">
        <w:rPr>
          <w:sz w:val="22"/>
          <w:szCs w:val="28"/>
          <w:lang w:val="ro-RO"/>
        </w:rPr>
        <w:t>(</w:t>
      </w:r>
      <w:r w:rsidR="00FD0311">
        <w:rPr>
          <w:sz w:val="22"/>
          <w:szCs w:val="28"/>
          <w:lang w:val="ro-RO"/>
        </w:rPr>
        <w:t>persoanele în vârstă</w:t>
      </w:r>
      <w:r w:rsidR="00494BC4" w:rsidRPr="00990492">
        <w:rPr>
          <w:sz w:val="22"/>
          <w:szCs w:val="28"/>
          <w:lang w:val="ro-RO"/>
        </w:rPr>
        <w:t>,</w:t>
      </w:r>
      <w:r w:rsidR="00FD0311">
        <w:rPr>
          <w:sz w:val="22"/>
          <w:szCs w:val="28"/>
          <w:lang w:val="ro-RO"/>
        </w:rPr>
        <w:t xml:space="preserve"> lucrătorii medicali</w:t>
      </w:r>
      <w:r w:rsidR="00494BC4" w:rsidRPr="00990492">
        <w:rPr>
          <w:sz w:val="22"/>
          <w:szCs w:val="28"/>
          <w:lang w:val="ro-RO"/>
        </w:rPr>
        <w:t>;</w:t>
      </w:r>
      <w:r w:rsidR="00FD0311">
        <w:rPr>
          <w:sz w:val="22"/>
          <w:szCs w:val="28"/>
          <w:lang w:val="ro-RO"/>
        </w:rPr>
        <w:t xml:space="preserve"> a se vedea Foaia de parcurs OMS  pentru prioritizare</w:t>
      </w:r>
      <w:r w:rsidR="00494BC4" w:rsidRPr="00990492">
        <w:rPr>
          <w:rStyle w:val="FootnoteReference"/>
          <w:sz w:val="22"/>
          <w:szCs w:val="28"/>
          <w:lang w:val="ro-RO"/>
        </w:rPr>
        <w:footnoteReference w:id="22"/>
      </w:r>
      <w:r w:rsidR="00494BC4" w:rsidRPr="00990492">
        <w:rPr>
          <w:sz w:val="22"/>
          <w:szCs w:val="28"/>
          <w:lang w:val="ro-RO"/>
        </w:rPr>
        <w:t xml:space="preserve">), </w:t>
      </w:r>
      <w:r w:rsidR="00FD0311">
        <w:rPr>
          <w:sz w:val="22"/>
          <w:szCs w:val="28"/>
          <w:lang w:val="ro-RO"/>
        </w:rPr>
        <w:t>circulația unor anumite VOC specifice</w:t>
      </w:r>
      <w:r w:rsidR="00494BC4" w:rsidRPr="00990492">
        <w:rPr>
          <w:sz w:val="22"/>
          <w:szCs w:val="28"/>
          <w:lang w:val="ro-RO"/>
        </w:rPr>
        <w:t xml:space="preserve">, </w:t>
      </w:r>
      <w:r w:rsidR="00FD0311">
        <w:rPr>
          <w:sz w:val="22"/>
          <w:szCs w:val="28"/>
          <w:lang w:val="ro-RO"/>
        </w:rPr>
        <w:t>problemele programatice și aspectele de comunicare</w:t>
      </w:r>
      <w:r w:rsidR="00494BC4" w:rsidRPr="00990492">
        <w:rPr>
          <w:sz w:val="22"/>
          <w:szCs w:val="28"/>
          <w:lang w:val="ro-RO"/>
        </w:rPr>
        <w:t>.</w:t>
      </w:r>
      <w:r w:rsidR="00072895" w:rsidRPr="00990492">
        <w:rPr>
          <w:sz w:val="22"/>
          <w:szCs w:val="28"/>
          <w:lang w:val="ro-RO"/>
        </w:rPr>
        <w:t xml:space="preserve"> </w:t>
      </w:r>
      <w:r w:rsidR="00FD0311">
        <w:rPr>
          <w:sz w:val="22"/>
          <w:szCs w:val="28"/>
          <w:lang w:val="ro-RO"/>
        </w:rPr>
        <w:t>Mai multe detalii sunt oferite în documentul de îndrumare al OMS</w:t>
      </w:r>
      <w:r w:rsidR="00494BC4" w:rsidRPr="00990492">
        <w:rPr>
          <w:sz w:val="22"/>
          <w:szCs w:val="28"/>
          <w:lang w:val="ro-RO"/>
        </w:rPr>
        <w:t>.</w:t>
      </w:r>
      <w:r w:rsidR="00494BC4" w:rsidRPr="00990492">
        <w:rPr>
          <w:sz w:val="22"/>
          <w:szCs w:val="28"/>
          <w:vertAlign w:val="superscript"/>
          <w:lang w:val="ro-RO"/>
        </w:rPr>
        <w:t>1</w:t>
      </w:r>
    </w:p>
    <w:p w14:paraId="36D07DA8" w14:textId="3729F818" w:rsidR="00494BC4" w:rsidRPr="00990492" w:rsidRDefault="00FD0311" w:rsidP="00494BC4">
      <w:pPr>
        <w:rPr>
          <w:sz w:val="22"/>
          <w:szCs w:val="28"/>
          <w:lang w:val="ro-RO"/>
        </w:rPr>
      </w:pPr>
      <w:r>
        <w:rPr>
          <w:sz w:val="22"/>
          <w:szCs w:val="28"/>
          <w:lang w:val="ro-RO"/>
        </w:rPr>
        <w:t>În baza modelării matematice</w:t>
      </w:r>
      <w:r w:rsidR="00494BC4" w:rsidRPr="00990492">
        <w:rPr>
          <w:rStyle w:val="FootnoteReference"/>
          <w:sz w:val="22"/>
          <w:szCs w:val="28"/>
          <w:lang w:val="ro-RO"/>
        </w:rPr>
        <w:footnoteReference w:id="23"/>
      </w:r>
      <w:r w:rsidR="00494BC4" w:rsidRPr="00990492">
        <w:rPr>
          <w:sz w:val="22"/>
          <w:szCs w:val="28"/>
          <w:vertAlign w:val="superscript"/>
          <w:lang w:val="ro-RO"/>
        </w:rPr>
        <w:t>,</w:t>
      </w:r>
      <w:r w:rsidR="00494BC4" w:rsidRPr="00990492">
        <w:rPr>
          <w:rStyle w:val="FootnoteReference"/>
          <w:sz w:val="22"/>
          <w:szCs w:val="28"/>
          <w:lang w:val="ro-RO"/>
        </w:rPr>
        <w:footnoteReference w:id="24"/>
      </w:r>
      <w:r>
        <w:rPr>
          <w:sz w:val="22"/>
          <w:szCs w:val="28"/>
          <w:lang w:val="ro-RO"/>
        </w:rPr>
        <w:t>, pentru un vaccin cu caracteristici similare celor documentate până la moment pentru vaccinul ChAdOx1-S [recombinant] și în baza presupunerii unei protecții relativ mari drept urmare a primei doze</w:t>
      </w:r>
      <w:r w:rsidR="00494BC4" w:rsidRPr="00990492">
        <w:rPr>
          <w:sz w:val="22"/>
          <w:szCs w:val="28"/>
          <w:lang w:val="ro-RO"/>
        </w:rPr>
        <w:t>,</w:t>
      </w:r>
      <w:r>
        <w:rPr>
          <w:sz w:val="22"/>
          <w:szCs w:val="28"/>
          <w:lang w:val="ro-RO"/>
        </w:rPr>
        <w:t xml:space="preserve"> un impact mai mare de sănătate publică ar fi de așteptat în cazul utilizării aprovizionării disponibile de vaccin drept primă doză pentru a spori acoperirea grupurilor de prioritate înaltă</w:t>
      </w:r>
      <w:r w:rsidR="00494BC4" w:rsidRPr="00990492">
        <w:rPr>
          <w:sz w:val="22"/>
          <w:szCs w:val="28"/>
          <w:lang w:val="ro-RO"/>
        </w:rPr>
        <w:t xml:space="preserve">. </w:t>
      </w:r>
      <w:r>
        <w:rPr>
          <w:b/>
          <w:bCs/>
          <w:sz w:val="22"/>
          <w:szCs w:val="28"/>
          <w:lang w:val="ro-RO"/>
        </w:rPr>
        <w:t>Cu alte cuvinte</w:t>
      </w:r>
      <w:r w:rsidR="00901C72">
        <w:rPr>
          <w:b/>
          <w:bCs/>
          <w:sz w:val="22"/>
          <w:szCs w:val="28"/>
          <w:lang w:val="ro-RO"/>
        </w:rPr>
        <w:t>, țările pot preveni ma</w:t>
      </w:r>
      <w:r w:rsidR="00780497">
        <w:rPr>
          <w:b/>
          <w:bCs/>
          <w:sz w:val="22"/>
          <w:szCs w:val="28"/>
          <w:lang w:val="ro-RO"/>
        </w:rPr>
        <w:t>i</w:t>
      </w:r>
      <w:r w:rsidR="00901C72">
        <w:rPr>
          <w:b/>
          <w:bCs/>
          <w:sz w:val="22"/>
          <w:szCs w:val="28"/>
          <w:lang w:val="ro-RO"/>
        </w:rPr>
        <w:t xml:space="preserve"> multe decese și spitalizări la nivel de po</w:t>
      </w:r>
      <w:r w:rsidR="00780497">
        <w:rPr>
          <w:b/>
          <w:bCs/>
          <w:sz w:val="22"/>
          <w:szCs w:val="28"/>
          <w:lang w:val="ro-RO"/>
        </w:rPr>
        <w:t xml:space="preserve">pulație dacă mai multe persoane din grupurile de o prioritate mai înaltă </w:t>
      </w:r>
      <w:r w:rsidR="00494BC4" w:rsidRPr="00990492">
        <w:rPr>
          <w:b/>
          <w:bCs/>
          <w:sz w:val="22"/>
          <w:szCs w:val="28"/>
          <w:lang w:val="ro-RO"/>
        </w:rPr>
        <w:t>(</w:t>
      </w:r>
      <w:r w:rsidR="00780497">
        <w:rPr>
          <w:b/>
          <w:bCs/>
          <w:sz w:val="22"/>
          <w:szCs w:val="28"/>
          <w:lang w:val="ro-RO"/>
        </w:rPr>
        <w:t>de ex., adulți în vârstă și lucrători medicali</w:t>
      </w:r>
      <w:r w:rsidR="00494BC4" w:rsidRPr="00990492">
        <w:rPr>
          <w:b/>
          <w:bCs/>
          <w:sz w:val="22"/>
          <w:szCs w:val="28"/>
          <w:lang w:val="ro-RO"/>
        </w:rPr>
        <w:t xml:space="preserve">) </w:t>
      </w:r>
      <w:r w:rsidR="00780497">
        <w:rPr>
          <w:b/>
          <w:bCs/>
          <w:sz w:val="22"/>
          <w:szCs w:val="28"/>
          <w:lang w:val="ro-RO"/>
        </w:rPr>
        <w:t>sunt vaccinate</w:t>
      </w:r>
      <w:r w:rsidR="00494BC4" w:rsidRPr="00990492">
        <w:rPr>
          <w:b/>
          <w:bCs/>
          <w:sz w:val="22"/>
          <w:szCs w:val="28"/>
          <w:lang w:val="ro-RO"/>
        </w:rPr>
        <w:t>,</w:t>
      </w:r>
      <w:r w:rsidR="00780497">
        <w:rPr>
          <w:b/>
          <w:bCs/>
          <w:sz w:val="22"/>
          <w:szCs w:val="28"/>
          <w:lang w:val="ro-RO"/>
        </w:rPr>
        <w:t xml:space="preserve"> chiar și doar cu o doză, decât nivelul pe care l-ar putea atinge prin utilizarea aprovizionării existente cu vaccin pentru administrarea celei de-a doua doze în rândul acelorași grupuri de populație, dar în numere mai mici</w:t>
      </w:r>
      <w:r w:rsidR="00494BC4" w:rsidRPr="00990492">
        <w:rPr>
          <w:b/>
          <w:bCs/>
          <w:sz w:val="22"/>
          <w:szCs w:val="28"/>
          <w:lang w:val="ro-RO"/>
        </w:rPr>
        <w:t>.</w:t>
      </w:r>
      <w:r w:rsidR="00072895" w:rsidRPr="00990492">
        <w:rPr>
          <w:b/>
          <w:bCs/>
          <w:sz w:val="22"/>
          <w:szCs w:val="28"/>
          <w:lang w:val="ro-RO"/>
        </w:rPr>
        <w:t xml:space="preserve"> </w:t>
      </w:r>
      <w:r w:rsidR="00BE38AB">
        <w:rPr>
          <w:b/>
          <w:bCs/>
          <w:sz w:val="22"/>
          <w:szCs w:val="28"/>
          <w:lang w:val="ro-RO"/>
        </w:rPr>
        <w:t xml:space="preserve">Pentru locațiile cu un nivel substanțial de circulație a </w:t>
      </w:r>
      <w:r w:rsidR="00494BC4" w:rsidRPr="00990492">
        <w:rPr>
          <w:b/>
          <w:bCs/>
          <w:sz w:val="22"/>
          <w:szCs w:val="28"/>
          <w:lang w:val="ro-RO"/>
        </w:rPr>
        <w:t>VOC</w:t>
      </w:r>
      <w:r w:rsidR="00BE38AB">
        <w:rPr>
          <w:b/>
          <w:bCs/>
          <w:sz w:val="22"/>
          <w:szCs w:val="28"/>
          <w:lang w:val="ro-RO"/>
        </w:rPr>
        <w:t>, pentru care s-a demonstrat eficacitate redusă dintr-o singură doză</w:t>
      </w:r>
      <w:r w:rsidR="00494BC4" w:rsidRPr="00990492">
        <w:rPr>
          <w:b/>
          <w:bCs/>
          <w:sz w:val="22"/>
          <w:szCs w:val="28"/>
          <w:lang w:val="ro-RO"/>
        </w:rPr>
        <w:t>,</w:t>
      </w:r>
      <w:r w:rsidR="00BE38AB">
        <w:rPr>
          <w:b/>
          <w:bCs/>
          <w:sz w:val="22"/>
          <w:szCs w:val="28"/>
          <w:lang w:val="ro-RO"/>
        </w:rPr>
        <w:t xml:space="preserve"> trebuie să fie analizată importanța de a oferi 2 doze celor mai vulnerabile grupuri</w:t>
      </w:r>
      <w:r w:rsidR="00494BC4" w:rsidRPr="00990492">
        <w:rPr>
          <w:b/>
          <w:bCs/>
          <w:sz w:val="22"/>
          <w:szCs w:val="28"/>
          <w:lang w:val="ro-RO"/>
        </w:rPr>
        <w:t xml:space="preserve">. </w:t>
      </w:r>
    </w:p>
    <w:p w14:paraId="77716DB2" w14:textId="3C8475A6" w:rsidR="00494BC4" w:rsidRPr="00990492" w:rsidRDefault="00F108DA" w:rsidP="00494BC4">
      <w:pPr>
        <w:rPr>
          <w:sz w:val="22"/>
          <w:szCs w:val="28"/>
          <w:lang w:val="ro-RO"/>
        </w:rPr>
      </w:pPr>
      <w:r>
        <w:rPr>
          <w:sz w:val="22"/>
          <w:szCs w:val="28"/>
          <w:lang w:val="ro-RO"/>
        </w:rPr>
        <w:t>Dacă VOC care circulă prin țară rezultă într-o eficacitate substanțial mai redusă a unei singuri doze în comparație cu două doze, și/sau dacă protecția clinică se reduce foarte rapid, atunci dovezile din modelări</w:t>
      </w:r>
      <w:r w:rsidR="00494BC4" w:rsidRPr="00990492">
        <w:rPr>
          <w:sz w:val="22"/>
          <w:szCs w:val="28"/>
          <w:vertAlign w:val="superscript"/>
          <w:lang w:val="ro-RO"/>
        </w:rPr>
        <w:t>16</w:t>
      </w:r>
      <w:r w:rsidR="00494BC4" w:rsidRPr="00990492">
        <w:rPr>
          <w:sz w:val="22"/>
          <w:szCs w:val="28"/>
          <w:lang w:val="ro-RO"/>
        </w:rPr>
        <w:t xml:space="preserve"> su</w:t>
      </w:r>
      <w:r>
        <w:rPr>
          <w:sz w:val="22"/>
          <w:szCs w:val="28"/>
          <w:lang w:val="ro-RO"/>
        </w:rPr>
        <w:t>sțin prioritizarea administrării celei de-a doua doze grupurilor de prioritate înaltă decât oferirea unei singuri doze tuturor adulților</w:t>
      </w:r>
      <w:r w:rsidR="00376784">
        <w:rPr>
          <w:sz w:val="22"/>
          <w:szCs w:val="28"/>
          <w:lang w:val="ro-RO"/>
        </w:rPr>
        <w:t>. Această notă poate fi actualizată pe viitor în baza dovezilor emergente privind eficacitatea vaccinului, durata protecției și modelarea diverselor particularități din țară</w:t>
      </w:r>
      <w:r w:rsidR="00494BC4" w:rsidRPr="00990492">
        <w:rPr>
          <w:sz w:val="22"/>
          <w:szCs w:val="28"/>
          <w:lang w:val="ro-RO"/>
        </w:rPr>
        <w:t>.</w:t>
      </w:r>
    </w:p>
    <w:p w14:paraId="558A336F" w14:textId="76B660EF" w:rsidR="00494BC4" w:rsidRPr="00990492" w:rsidRDefault="00041B85" w:rsidP="00494BC4">
      <w:pPr>
        <w:pStyle w:val="Heading1"/>
        <w:rPr>
          <w:sz w:val="22"/>
          <w:szCs w:val="24"/>
          <w:lang w:val="ro-RO"/>
        </w:rPr>
      </w:pPr>
      <w:r>
        <w:rPr>
          <w:sz w:val="22"/>
          <w:szCs w:val="24"/>
          <w:lang w:val="ro-RO"/>
        </w:rPr>
        <w:t xml:space="preserve">Dacă vaccinul ChAdOx1-S [recombinant] este administrat peste </w:t>
      </w:r>
      <w:r w:rsidR="00494BC4" w:rsidRPr="00990492">
        <w:rPr>
          <w:sz w:val="22"/>
          <w:szCs w:val="24"/>
          <w:lang w:val="ro-RO"/>
        </w:rPr>
        <w:t>12</w:t>
      </w:r>
      <w:r>
        <w:rPr>
          <w:sz w:val="22"/>
          <w:szCs w:val="24"/>
          <w:lang w:val="ro-RO"/>
        </w:rPr>
        <w:t xml:space="preserve"> săptămâni de la prima doză</w:t>
      </w:r>
      <w:r w:rsidR="00494BC4" w:rsidRPr="00990492">
        <w:rPr>
          <w:sz w:val="22"/>
          <w:szCs w:val="24"/>
          <w:lang w:val="ro-RO"/>
        </w:rPr>
        <w:t>,</w:t>
      </w:r>
      <w:r>
        <w:rPr>
          <w:sz w:val="22"/>
          <w:szCs w:val="24"/>
          <w:lang w:val="ro-RO"/>
        </w:rPr>
        <w:t xml:space="preserve"> trebuie să fie reîncepută seria de vaccinare</w:t>
      </w:r>
      <w:r w:rsidR="00494BC4" w:rsidRPr="00990492">
        <w:rPr>
          <w:sz w:val="22"/>
          <w:szCs w:val="24"/>
          <w:lang w:val="ro-RO"/>
        </w:rPr>
        <w:t xml:space="preserve">? </w:t>
      </w:r>
    </w:p>
    <w:p w14:paraId="31E40736" w14:textId="1EBE729E" w:rsidR="00494BC4" w:rsidRPr="00990492" w:rsidRDefault="00A36A34" w:rsidP="00494BC4">
      <w:pPr>
        <w:rPr>
          <w:sz w:val="22"/>
          <w:szCs w:val="28"/>
          <w:lang w:val="ro-RO"/>
        </w:rPr>
      </w:pPr>
      <w:r>
        <w:rPr>
          <w:sz w:val="22"/>
          <w:szCs w:val="28"/>
          <w:lang w:val="ro-RO"/>
        </w:rPr>
        <w:t>Dacă cea de-a doua doză este administrată cu întârzieri substanțiale dincolo de intervalul recomandat de 8-12 săptămâni</w:t>
      </w:r>
      <w:r w:rsidR="00494BC4" w:rsidRPr="00990492">
        <w:rPr>
          <w:sz w:val="22"/>
          <w:szCs w:val="28"/>
          <w:lang w:val="ro-RO"/>
        </w:rPr>
        <w:t>,</w:t>
      </w:r>
      <w:r>
        <w:rPr>
          <w:sz w:val="22"/>
          <w:szCs w:val="28"/>
          <w:lang w:val="ro-RO"/>
        </w:rPr>
        <w:t xml:space="preserve"> nu este necesar de reînceput întregul curs de vaccinare</w:t>
      </w:r>
      <w:r w:rsidR="00494BC4" w:rsidRPr="00990492">
        <w:rPr>
          <w:sz w:val="22"/>
          <w:szCs w:val="28"/>
          <w:lang w:val="ro-RO"/>
        </w:rPr>
        <w:t>.</w:t>
      </w:r>
      <w:r w:rsidR="00072895" w:rsidRPr="00990492">
        <w:rPr>
          <w:sz w:val="22"/>
          <w:szCs w:val="28"/>
          <w:lang w:val="ro-RO"/>
        </w:rPr>
        <w:t xml:space="preserve"> </w:t>
      </w:r>
      <w:r>
        <w:rPr>
          <w:sz w:val="22"/>
          <w:szCs w:val="28"/>
          <w:lang w:val="ro-RO"/>
        </w:rPr>
        <w:t xml:space="preserve">Datele nepublicate relevă un răspuns </w:t>
      </w:r>
      <w:r w:rsidR="008C4746">
        <w:rPr>
          <w:sz w:val="22"/>
          <w:szCs w:val="28"/>
          <w:lang w:val="ro-RO"/>
        </w:rPr>
        <w:t>anamnestic puternic chiar și după un interval de circa 6 luni între doze</w:t>
      </w:r>
      <w:r w:rsidR="00494BC4" w:rsidRPr="00990492">
        <w:rPr>
          <w:sz w:val="22"/>
          <w:szCs w:val="28"/>
          <w:lang w:val="ro-RO"/>
        </w:rPr>
        <w:t>, indic</w:t>
      </w:r>
      <w:r w:rsidR="008C4746">
        <w:rPr>
          <w:sz w:val="22"/>
          <w:szCs w:val="28"/>
          <w:lang w:val="ro-RO"/>
        </w:rPr>
        <w:t>ând asupra faptului că prima doză oferă a activare imunologică robustă</w:t>
      </w:r>
      <w:r w:rsidR="00494BC4" w:rsidRPr="00990492">
        <w:rPr>
          <w:sz w:val="22"/>
          <w:szCs w:val="28"/>
          <w:lang w:val="ro-RO"/>
        </w:rPr>
        <w:t>.</w:t>
      </w:r>
    </w:p>
    <w:p w14:paraId="75C9DDF1" w14:textId="2AF85780" w:rsidR="00B222A2" w:rsidRPr="00990492" w:rsidRDefault="00F53E29" w:rsidP="00B222A2">
      <w:pPr>
        <w:pStyle w:val="Heading1"/>
        <w:rPr>
          <w:sz w:val="22"/>
          <w:szCs w:val="24"/>
          <w:lang w:val="ro-RO"/>
        </w:rPr>
      </w:pPr>
      <w:bookmarkStart w:id="5" w:name="_Hlk60821827"/>
      <w:r>
        <w:rPr>
          <w:sz w:val="22"/>
          <w:szCs w:val="24"/>
          <w:lang w:val="ro-RO"/>
        </w:rPr>
        <w:lastRenderedPageBreak/>
        <w:t>Mulțumiri</w:t>
      </w:r>
      <w:r w:rsidR="00B222A2" w:rsidRPr="00990492">
        <w:rPr>
          <w:sz w:val="22"/>
          <w:szCs w:val="24"/>
          <w:lang w:val="ro-RO"/>
        </w:rPr>
        <w:t xml:space="preserve"> </w:t>
      </w:r>
    </w:p>
    <w:p w14:paraId="2B9ABC14" w14:textId="467A76EA" w:rsidR="00494BC4" w:rsidRPr="00990492" w:rsidRDefault="000D2076" w:rsidP="00494BC4">
      <w:pPr>
        <w:rPr>
          <w:sz w:val="22"/>
          <w:szCs w:val="28"/>
          <w:lang w:val="ro-RO"/>
        </w:rPr>
      </w:pPr>
      <w:r>
        <w:rPr>
          <w:sz w:val="22"/>
          <w:szCs w:val="28"/>
          <w:lang w:val="ro-RO"/>
        </w:rPr>
        <w:t xml:space="preserve">Prezenta notă tehnică a fost elaborată de secretariatul OMS și a fost revizuită de membrii </w:t>
      </w:r>
      <w:hyperlink r:id="rId14" w:history="1">
        <w:r>
          <w:rPr>
            <w:rStyle w:val="Hyperlink"/>
            <w:sz w:val="22"/>
            <w:szCs w:val="28"/>
            <w:lang w:val="ro-RO"/>
          </w:rPr>
          <w:t>Grupului S</w:t>
        </w:r>
        <w:r w:rsidR="00494BC4" w:rsidRPr="00990492">
          <w:rPr>
            <w:rStyle w:val="Hyperlink"/>
            <w:sz w:val="22"/>
            <w:szCs w:val="28"/>
            <w:lang w:val="ro-RO"/>
          </w:rPr>
          <w:t>trategic</w:t>
        </w:r>
        <w:r>
          <w:rPr>
            <w:rStyle w:val="Hyperlink"/>
            <w:sz w:val="22"/>
            <w:szCs w:val="28"/>
            <w:lang w:val="ro-RO"/>
          </w:rPr>
          <w:t xml:space="preserve"> de Consiliere al Experților în Imunizare </w:t>
        </w:r>
        <w:r w:rsidR="00494BC4" w:rsidRPr="00990492">
          <w:rPr>
            <w:rStyle w:val="Hyperlink"/>
            <w:sz w:val="22"/>
            <w:szCs w:val="28"/>
            <w:lang w:val="ro-RO"/>
          </w:rPr>
          <w:t>(SAGE)</w:t>
        </w:r>
      </w:hyperlink>
      <w:r>
        <w:rPr>
          <w:sz w:val="22"/>
          <w:szCs w:val="28"/>
          <w:lang w:val="ro-RO"/>
        </w:rPr>
        <w:t xml:space="preserve"> și </w:t>
      </w:r>
      <w:hyperlink r:id="rId15" w:history="1">
        <w:r>
          <w:rPr>
            <w:rStyle w:val="Hyperlink"/>
            <w:sz w:val="22"/>
            <w:szCs w:val="28"/>
            <w:lang w:val="ro-RO"/>
          </w:rPr>
          <w:t>Grupul de lucru S</w:t>
        </w:r>
        <w:r w:rsidR="00494BC4" w:rsidRPr="00990492">
          <w:rPr>
            <w:rStyle w:val="Hyperlink"/>
            <w:sz w:val="22"/>
            <w:szCs w:val="28"/>
            <w:lang w:val="ro-RO"/>
          </w:rPr>
          <w:t xml:space="preserve">AGE </w:t>
        </w:r>
        <w:r>
          <w:rPr>
            <w:rStyle w:val="Hyperlink"/>
            <w:sz w:val="22"/>
            <w:szCs w:val="28"/>
            <w:lang w:val="ro-RO"/>
          </w:rPr>
          <w:t>privind vaccinurile anit-</w:t>
        </w:r>
        <w:r w:rsidR="00494BC4" w:rsidRPr="00990492">
          <w:rPr>
            <w:rStyle w:val="Hyperlink"/>
            <w:sz w:val="22"/>
            <w:szCs w:val="28"/>
            <w:lang w:val="ro-RO"/>
          </w:rPr>
          <w:t>COVID-19</w:t>
        </w:r>
      </w:hyperlink>
      <w:r w:rsidR="00494BC4" w:rsidRPr="00990492">
        <w:rPr>
          <w:sz w:val="22"/>
          <w:szCs w:val="28"/>
          <w:lang w:val="ro-RO"/>
        </w:rPr>
        <w:t>.</w:t>
      </w:r>
      <w:r w:rsidR="00072895" w:rsidRPr="00990492">
        <w:rPr>
          <w:sz w:val="22"/>
          <w:szCs w:val="28"/>
          <w:lang w:val="ro-RO"/>
        </w:rPr>
        <w:t xml:space="preserve"> </w:t>
      </w:r>
      <w:r>
        <w:rPr>
          <w:sz w:val="22"/>
          <w:szCs w:val="28"/>
          <w:lang w:val="ro-RO"/>
        </w:rPr>
        <w:t>Nu este o recomandare oficială de politici din partea OMS</w:t>
      </w:r>
      <w:r w:rsidR="00494BC4" w:rsidRPr="00990492">
        <w:rPr>
          <w:sz w:val="22"/>
          <w:szCs w:val="28"/>
          <w:lang w:val="ro-RO"/>
        </w:rPr>
        <w:t>.</w:t>
      </w:r>
    </w:p>
    <w:p w14:paraId="0E85ABEA" w14:textId="58C32EDC" w:rsidR="008538B8" w:rsidRPr="00990492" w:rsidRDefault="000D2076" w:rsidP="008538B8">
      <w:pPr>
        <w:pStyle w:val="Heading1"/>
        <w:rPr>
          <w:sz w:val="22"/>
          <w:szCs w:val="24"/>
          <w:lang w:val="ro-RO"/>
        </w:rPr>
      </w:pPr>
      <w:bookmarkStart w:id="6" w:name="_Hlk41411087"/>
      <w:bookmarkEnd w:id="5"/>
      <w:r>
        <w:rPr>
          <w:sz w:val="22"/>
          <w:szCs w:val="24"/>
          <w:lang w:val="ro-RO"/>
        </w:rPr>
        <w:t xml:space="preserve">Sursa de finanțare </w:t>
      </w:r>
    </w:p>
    <w:p w14:paraId="3920E8CE" w14:textId="05A4FADC" w:rsidR="008538B8" w:rsidRPr="00990492" w:rsidRDefault="000D2076" w:rsidP="008538B8">
      <w:pPr>
        <w:rPr>
          <w:sz w:val="22"/>
          <w:szCs w:val="28"/>
          <w:lang w:val="ro-RO"/>
        </w:rPr>
      </w:pPr>
      <w:r>
        <w:rPr>
          <w:sz w:val="22"/>
          <w:szCs w:val="28"/>
          <w:lang w:val="ro-RO"/>
        </w:rPr>
        <w:t xml:space="preserve">Membrii </w:t>
      </w:r>
      <w:r w:rsidR="008538B8" w:rsidRPr="00990492">
        <w:rPr>
          <w:sz w:val="22"/>
          <w:szCs w:val="28"/>
          <w:lang w:val="ro-RO"/>
        </w:rPr>
        <w:t xml:space="preserve">SAGE </w:t>
      </w:r>
      <w:r>
        <w:rPr>
          <w:sz w:val="22"/>
          <w:szCs w:val="28"/>
          <w:lang w:val="ro-RO"/>
        </w:rPr>
        <w:t xml:space="preserve">și membrii grupului de lucru </w:t>
      </w:r>
      <w:r w:rsidR="008538B8" w:rsidRPr="00990492">
        <w:rPr>
          <w:sz w:val="22"/>
          <w:szCs w:val="28"/>
          <w:lang w:val="ro-RO"/>
        </w:rPr>
        <w:t xml:space="preserve">SAGE </w:t>
      </w:r>
      <w:r>
        <w:rPr>
          <w:sz w:val="22"/>
          <w:szCs w:val="28"/>
          <w:lang w:val="ro-RO"/>
        </w:rPr>
        <w:t>nu primesc remunerarea din partea Organizației pentru activitățile ce țin de SAGE. Secretariatul SAGE este finanțat prin contribuțiile de bază către OMS</w:t>
      </w:r>
      <w:r w:rsidR="008538B8" w:rsidRPr="00990492">
        <w:rPr>
          <w:rFonts w:eastAsia="Calibri"/>
          <w:sz w:val="22"/>
          <w:szCs w:val="28"/>
          <w:lang w:val="ro-RO"/>
        </w:rPr>
        <w:t>.</w:t>
      </w:r>
    </w:p>
    <w:p w14:paraId="729D44D7" w14:textId="6A37061F" w:rsidR="00B222A2" w:rsidRPr="00990492" w:rsidRDefault="00B222A2" w:rsidP="00B222A2">
      <w:pPr>
        <w:spacing w:before="240"/>
        <w:rPr>
          <w:sz w:val="22"/>
          <w:szCs w:val="22"/>
          <w:highlight w:val="yellow"/>
          <w:lang w:val="ro-RO"/>
        </w:rPr>
      </w:pPr>
      <w:r w:rsidRPr="00990492">
        <w:rPr>
          <w:b/>
          <w:sz w:val="22"/>
          <w:szCs w:val="22"/>
          <w:lang w:val="ro-RO"/>
        </w:rPr>
        <w:t xml:space="preserve">© </w:t>
      </w:r>
      <w:r w:rsidR="000D2076">
        <w:rPr>
          <w:sz w:val="22"/>
          <w:szCs w:val="22"/>
          <w:lang w:val="ro-RO"/>
        </w:rPr>
        <w:t xml:space="preserve">OMS 2021. Unele drepturi sunt rezervate. Această lucrare este disponibilă sub licența </w:t>
      </w:r>
      <w:hyperlink r:id="rId16" w:history="1">
        <w:r w:rsidRPr="00990492">
          <w:rPr>
            <w:rStyle w:val="Hyperlink"/>
            <w:sz w:val="22"/>
            <w:szCs w:val="22"/>
            <w:lang w:val="ro-RO"/>
          </w:rPr>
          <w:t>CC BY-NC-SA 3.0 IGO</w:t>
        </w:r>
      </w:hyperlink>
      <w:r w:rsidR="000D2076">
        <w:rPr>
          <w:sz w:val="22"/>
          <w:szCs w:val="22"/>
          <w:lang w:val="ro-RO"/>
        </w:rPr>
        <w:t xml:space="preserve"> </w:t>
      </w:r>
      <w:r w:rsidRPr="00990492">
        <w:rPr>
          <w:sz w:val="22"/>
          <w:szCs w:val="22"/>
          <w:lang w:val="ro-RO"/>
        </w:rPr>
        <w:t>.</w:t>
      </w:r>
    </w:p>
    <w:bookmarkEnd w:id="6"/>
    <w:p w14:paraId="04876FD5" w14:textId="0A68CE08" w:rsidR="007C4F5B" w:rsidRPr="00990492" w:rsidRDefault="000D2076">
      <w:pPr>
        <w:rPr>
          <w:sz w:val="22"/>
          <w:szCs w:val="28"/>
          <w:lang w:val="ro-RO"/>
        </w:rPr>
      </w:pPr>
      <w:r>
        <w:rPr>
          <w:sz w:val="22"/>
          <w:szCs w:val="28"/>
          <w:highlight w:val="yellow"/>
          <w:lang w:val="ro-RO"/>
        </w:rPr>
        <w:t>Numărul de referință OMS</w:t>
      </w:r>
      <w:r w:rsidR="00B222A2" w:rsidRPr="00990492">
        <w:rPr>
          <w:sz w:val="22"/>
          <w:szCs w:val="28"/>
          <w:highlight w:val="yellow"/>
          <w:lang w:val="ro-RO"/>
        </w:rPr>
        <w:t xml:space="preserve">: </w:t>
      </w:r>
    </w:p>
    <w:sectPr w:rsidR="007C4F5B" w:rsidRPr="00990492" w:rsidSect="00F53E29">
      <w:headerReference w:type="default" r:id="rId1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5CA1B" w14:textId="77777777" w:rsidR="001F65EB" w:rsidRDefault="001F65EB">
      <w:pPr>
        <w:spacing w:after="0" w:line="240" w:lineRule="auto"/>
      </w:pPr>
      <w:r>
        <w:separator/>
      </w:r>
    </w:p>
  </w:endnote>
  <w:endnote w:type="continuationSeparator" w:id="0">
    <w:p w14:paraId="7177FA55" w14:textId="77777777" w:rsidR="001F65EB" w:rsidRDefault="001F65EB">
      <w:pPr>
        <w:spacing w:after="0" w:line="240" w:lineRule="auto"/>
      </w:pPr>
      <w:r>
        <w:continuationSeparator/>
      </w:r>
    </w:p>
  </w:endnote>
  <w:endnote w:type="continuationNotice" w:id="1">
    <w:p w14:paraId="72A233F6" w14:textId="77777777" w:rsidR="001F65EB" w:rsidRDefault="001F6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FB221" w14:textId="000E06F8" w:rsidR="00F53E29" w:rsidRDefault="00F53E29" w:rsidP="00F53E29">
    <w:pPr>
      <w:pStyle w:val="Footer"/>
      <w:spacing w:before="240" w:after="0"/>
      <w:jc w:val="center"/>
    </w:pPr>
    <w:r>
      <w:t>-</w:t>
    </w:r>
    <w:sdt>
      <w:sdtPr>
        <w:id w:val="-9509377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D2076">
          <w:rPr>
            <w:noProof/>
          </w:rPr>
          <w:t>5</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EEB33" w14:textId="308DDCEC" w:rsidR="00F53E29" w:rsidRDefault="00F53E29" w:rsidP="00F53E29">
    <w:pPr>
      <w:pStyle w:val="Footer"/>
      <w:spacing w:before="240" w:after="0"/>
      <w:jc w:val="center"/>
    </w:pPr>
    <w:r>
      <w:t>-</w:t>
    </w:r>
    <w:sdt>
      <w:sdtPr>
        <w:id w:val="16398420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D2076">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4B987" w14:textId="77777777" w:rsidR="001F65EB" w:rsidRDefault="001F65EB">
      <w:pPr>
        <w:spacing w:after="0" w:line="240" w:lineRule="auto"/>
      </w:pPr>
      <w:r>
        <w:separator/>
      </w:r>
    </w:p>
  </w:footnote>
  <w:footnote w:type="continuationSeparator" w:id="0">
    <w:p w14:paraId="71B7413E" w14:textId="77777777" w:rsidR="001F65EB" w:rsidRDefault="001F65EB">
      <w:pPr>
        <w:spacing w:after="0" w:line="240" w:lineRule="auto"/>
      </w:pPr>
      <w:r>
        <w:continuationSeparator/>
      </w:r>
    </w:p>
  </w:footnote>
  <w:footnote w:type="continuationNotice" w:id="1">
    <w:p w14:paraId="52C68BA2" w14:textId="77777777" w:rsidR="001F65EB" w:rsidRDefault="001F65EB">
      <w:pPr>
        <w:spacing w:after="0" w:line="240" w:lineRule="auto"/>
      </w:pPr>
    </w:p>
  </w:footnote>
  <w:footnote w:id="2">
    <w:p w14:paraId="72ECDFB2" w14:textId="4FA04ABC" w:rsidR="00F53E29" w:rsidRPr="00A65C52" w:rsidRDefault="00F53E29" w:rsidP="00494BC4">
      <w:pPr>
        <w:pStyle w:val="FootnoteText"/>
      </w:pPr>
      <w:r w:rsidRPr="00A65C52">
        <w:rPr>
          <w:rStyle w:val="FootnoteReference"/>
        </w:rPr>
        <w:footnoteRef/>
      </w:r>
      <w:r w:rsidRPr="00A65C52">
        <w:t xml:space="preserve"> Considerations for optimizing deployment of ChAdOx1-S [recombinant] vaccines in a time-limited constrained supply situation. </w:t>
      </w:r>
      <w:hyperlink r:id="rId1" w:history="1">
        <w:r w:rsidRPr="00A65C52">
          <w:rPr>
            <w:rStyle w:val="Hyperlink"/>
          </w:rPr>
          <w:t>https://www.who.int/publications/m/item/considerations-for-optimizing-deployment-of-astrazeneca-azd1222-and-sii-covishield-vaccines-in-a-time-limited-constrained-supply-situation</w:t>
        </w:r>
      </w:hyperlink>
      <w:r w:rsidRPr="00A65C52">
        <w:tab/>
      </w:r>
    </w:p>
  </w:footnote>
  <w:footnote w:id="3">
    <w:p w14:paraId="044EAAED" w14:textId="64225749" w:rsidR="00F53E29" w:rsidRPr="00A65C52" w:rsidRDefault="00F53E29" w:rsidP="00494BC4">
      <w:pPr>
        <w:pStyle w:val="FootnoteText"/>
      </w:pPr>
      <w:r w:rsidRPr="00A65C52">
        <w:rPr>
          <w:rStyle w:val="FootnoteReference"/>
        </w:rPr>
        <w:footnoteRef/>
      </w:r>
      <w:r w:rsidRPr="00A65C52">
        <w:t xml:space="preserve"> Background document on the AZD1222 vaccine against COVID-19 developed by Oxford University and AstraZeneca.</w:t>
      </w:r>
      <w:r>
        <w:t xml:space="preserve"> </w:t>
      </w:r>
      <w:r w:rsidRPr="00A65C52">
        <w:t xml:space="preserve">March 5, 2021 </w:t>
      </w:r>
      <w:hyperlink r:id="rId2" w:history="1">
        <w:r w:rsidRPr="00A65C52">
          <w:rPr>
            <w:rStyle w:val="Hyperlink"/>
          </w:rPr>
          <w:t>https://www.who.int/publications/i/item/background-document-on-the-azd1222-vaccine-against-covid-19-developed-by-oxford-university-and-astrazeneca</w:t>
        </w:r>
      </w:hyperlink>
      <w:r w:rsidRPr="00A65C52">
        <w:tab/>
      </w:r>
    </w:p>
  </w:footnote>
  <w:footnote w:id="4">
    <w:p w14:paraId="58FFF1EE" w14:textId="77777777" w:rsidR="00F53E29" w:rsidRPr="00A65C52" w:rsidRDefault="00F53E29" w:rsidP="00494BC4">
      <w:pPr>
        <w:pStyle w:val="FootnoteText"/>
      </w:pPr>
      <w:r w:rsidRPr="00A65C52">
        <w:rPr>
          <w:rStyle w:val="FootnoteReference"/>
        </w:rPr>
        <w:footnoteRef/>
      </w:r>
      <w:r w:rsidRPr="00A65C52">
        <w:t xml:space="preserve"> Voysey et al. Single-dose administration and the influence of the timing of the booster dose on immunogenicity and efficacy of ChAdOx1 nCoV-19 (AZD1222) vaccine: a pooled analysis of four randomised trials. The Lancet. 2021; 397:881-91 </w:t>
      </w:r>
      <w:hyperlink r:id="rId3" w:history="1">
        <w:r w:rsidRPr="00A65C52">
          <w:rPr>
            <w:rStyle w:val="Hyperlink"/>
          </w:rPr>
          <w:t>https://doi.org/10.1016/S0140-6736(21)00432-3</w:t>
        </w:r>
      </w:hyperlink>
      <w:r w:rsidRPr="00A65C52">
        <w:tab/>
      </w:r>
    </w:p>
  </w:footnote>
  <w:footnote w:id="5">
    <w:p w14:paraId="6DF11B43" w14:textId="77777777" w:rsidR="00F53E29" w:rsidRPr="004052DA" w:rsidRDefault="00F53E29" w:rsidP="00494BC4">
      <w:pPr>
        <w:pStyle w:val="FootnoteText"/>
        <w:rPr>
          <w:sz w:val="18"/>
          <w:szCs w:val="18"/>
          <w:lang w:val="fr-FR"/>
        </w:rPr>
      </w:pPr>
      <w:r w:rsidRPr="00A65C52">
        <w:rPr>
          <w:rStyle w:val="FootnoteReference"/>
        </w:rPr>
        <w:footnoteRef/>
      </w:r>
      <w:r w:rsidRPr="00A65C52">
        <w:rPr>
          <w:lang w:val="en-GB"/>
        </w:rPr>
        <w:t xml:space="preserve"> Interim recommendations for use of the ChAdOx1-S [recombinant] vaccine against COVID-19 (AstraZeneca COVID-19 vaccine AZD1222, SII Covishield, SK Bioscience). </w:t>
      </w:r>
      <w:r w:rsidRPr="00A65C52">
        <w:rPr>
          <w:lang w:val="fr-FR"/>
        </w:rPr>
        <w:t xml:space="preserve">21 April 2021 </w:t>
      </w:r>
      <w:hyperlink r:id="rId4" w:history="1">
        <w:r w:rsidRPr="00A65C52">
          <w:rPr>
            <w:rStyle w:val="Hyperlink"/>
            <w:lang w:val="fr-FR"/>
          </w:rPr>
          <w:t>https://www.who.int/publications/i/item/WHO-2019-nCoV-vaccines-SAGE_recommendation-AZD1222-2021.1</w:t>
        </w:r>
      </w:hyperlink>
      <w:r w:rsidRPr="00A65C52">
        <w:rPr>
          <w:lang w:val="fr-FR"/>
        </w:rPr>
        <w:tab/>
      </w:r>
    </w:p>
  </w:footnote>
  <w:footnote w:id="6">
    <w:p w14:paraId="55AFD771" w14:textId="77777777" w:rsidR="00F53E29" w:rsidRPr="004052DA" w:rsidRDefault="00F53E29" w:rsidP="00494BC4">
      <w:pPr>
        <w:pStyle w:val="FootnoteText"/>
        <w:rPr>
          <w:sz w:val="18"/>
          <w:szCs w:val="18"/>
          <w:lang w:val="fr-CH"/>
        </w:rPr>
      </w:pPr>
      <w:r w:rsidRPr="004052DA">
        <w:rPr>
          <w:rStyle w:val="FootnoteReference"/>
          <w:sz w:val="18"/>
          <w:szCs w:val="18"/>
        </w:rPr>
        <w:footnoteRef/>
      </w:r>
      <w:r w:rsidRPr="004052DA">
        <w:rPr>
          <w:sz w:val="18"/>
          <w:szCs w:val="18"/>
          <w:lang w:val="fr-FR"/>
        </w:rPr>
        <w:t xml:space="preserve"> Lopez Bernal et al. </w:t>
      </w:r>
      <w:r w:rsidRPr="004052DA">
        <w:rPr>
          <w:sz w:val="18"/>
          <w:szCs w:val="18"/>
        </w:rPr>
        <w:t xml:space="preserve">Early effectiveness of COVID-19 vaccination with BNT162b2 mRNA vaccine and ChAdOx1 adenovirus vector vaccine on symptomatic disease, hospitalisations and mortality in older adults in England. medRxiv. </w:t>
      </w:r>
      <w:r w:rsidRPr="004052DA">
        <w:rPr>
          <w:sz w:val="18"/>
          <w:szCs w:val="18"/>
          <w:lang w:val="fr-CH"/>
        </w:rPr>
        <w:t xml:space="preserve">2021.(preprint) </w:t>
      </w:r>
      <w:hyperlink r:id="rId5" w:history="1">
        <w:r w:rsidRPr="004052DA">
          <w:rPr>
            <w:rStyle w:val="Hyperlink"/>
            <w:sz w:val="18"/>
            <w:szCs w:val="18"/>
            <w:lang w:val="fr-CH"/>
          </w:rPr>
          <w:t>https://www.medrxiv.org/content/10.1101/2021.03.01.21252652v1</w:t>
        </w:r>
      </w:hyperlink>
      <w:r w:rsidRPr="004052DA">
        <w:rPr>
          <w:sz w:val="18"/>
          <w:szCs w:val="18"/>
          <w:lang w:val="fr-CH"/>
        </w:rPr>
        <w:tab/>
      </w:r>
    </w:p>
  </w:footnote>
  <w:footnote w:id="7">
    <w:p w14:paraId="55E8FEDD" w14:textId="77777777" w:rsidR="00F53E29" w:rsidRPr="004052DA" w:rsidRDefault="00F53E29" w:rsidP="00494BC4">
      <w:pPr>
        <w:pStyle w:val="FootnoteText"/>
        <w:rPr>
          <w:sz w:val="18"/>
          <w:szCs w:val="18"/>
          <w:lang w:val="fr-CH"/>
        </w:rPr>
      </w:pPr>
      <w:r w:rsidRPr="004052DA">
        <w:rPr>
          <w:rStyle w:val="FootnoteReference"/>
          <w:sz w:val="18"/>
          <w:szCs w:val="18"/>
        </w:rPr>
        <w:footnoteRef/>
      </w:r>
      <w:r w:rsidRPr="004052DA">
        <w:rPr>
          <w:sz w:val="18"/>
          <w:szCs w:val="18"/>
          <w:lang w:val="fr-CH"/>
        </w:rPr>
        <w:t xml:space="preserve"> Hyams et al. </w:t>
      </w:r>
      <w:r w:rsidRPr="004052DA">
        <w:rPr>
          <w:sz w:val="18"/>
          <w:szCs w:val="18"/>
        </w:rPr>
        <w:t xml:space="preserve">Assessing the Effectiveness of BNT162b2 and ChAdOx1nCoV-19 COVID-19 Vaccination in Prevention of Hospitalisations in Elderly and Frail Adults: A Single Centre Test Negative Case-Control Study. </w:t>
      </w:r>
      <w:r w:rsidRPr="004052DA">
        <w:rPr>
          <w:sz w:val="18"/>
          <w:szCs w:val="18"/>
          <w:lang w:val="fr-CH"/>
        </w:rPr>
        <w:t xml:space="preserve">The Lancet. 2021. (preprint). </w:t>
      </w:r>
      <w:hyperlink r:id="rId6" w:history="1">
        <w:r w:rsidRPr="004052DA">
          <w:rPr>
            <w:rStyle w:val="Hyperlink"/>
            <w:sz w:val="18"/>
            <w:szCs w:val="18"/>
            <w:lang w:val="fr-CH"/>
          </w:rPr>
          <w:t>https://papers.ssrn.com/sol3/papers.cfm?abstract_id=3796835</w:t>
        </w:r>
      </w:hyperlink>
      <w:r w:rsidRPr="004052DA">
        <w:rPr>
          <w:sz w:val="18"/>
          <w:szCs w:val="18"/>
          <w:lang w:val="fr-CH"/>
        </w:rPr>
        <w:tab/>
      </w:r>
    </w:p>
  </w:footnote>
  <w:footnote w:id="8">
    <w:p w14:paraId="668644F1" w14:textId="77777777" w:rsidR="00F53E29" w:rsidRPr="004052DA" w:rsidRDefault="00F53E29" w:rsidP="00494BC4">
      <w:pPr>
        <w:pStyle w:val="FootnoteText"/>
        <w:rPr>
          <w:sz w:val="18"/>
          <w:szCs w:val="18"/>
          <w:lang w:val="fr-CH"/>
        </w:rPr>
      </w:pPr>
      <w:r w:rsidRPr="004052DA">
        <w:rPr>
          <w:rStyle w:val="FootnoteReference"/>
          <w:sz w:val="18"/>
          <w:szCs w:val="18"/>
        </w:rPr>
        <w:footnoteRef/>
      </w:r>
      <w:r w:rsidRPr="004052DA">
        <w:rPr>
          <w:sz w:val="18"/>
          <w:szCs w:val="18"/>
          <w:lang w:val="fr-CH"/>
        </w:rPr>
        <w:t xml:space="preserve"> Vasileiou et al. </w:t>
      </w:r>
      <w:r w:rsidRPr="004052DA">
        <w:rPr>
          <w:sz w:val="18"/>
          <w:szCs w:val="18"/>
        </w:rPr>
        <w:t xml:space="preserve">Interim findings from first-dose mass COVID-19 vaccination roll-out and COVID-19 hospital admissions in Scotland: a national prospective cohort study. </w:t>
      </w:r>
      <w:r w:rsidRPr="004052DA">
        <w:rPr>
          <w:sz w:val="18"/>
          <w:szCs w:val="18"/>
          <w:lang w:val="fr-CH"/>
        </w:rPr>
        <w:t xml:space="preserve">The Lancet. 2021;397:1646-57.(preprint). </w:t>
      </w:r>
      <w:hyperlink r:id="rId7" w:history="1">
        <w:r w:rsidRPr="004052DA">
          <w:rPr>
            <w:rStyle w:val="Hyperlink"/>
            <w:sz w:val="18"/>
            <w:szCs w:val="18"/>
            <w:lang w:val="fr-CH"/>
          </w:rPr>
          <w:t>https://www.thelancet.com/journals/lancet/article/PIIS0140-6736(21)00677-2/fulltext</w:t>
        </w:r>
      </w:hyperlink>
      <w:r w:rsidRPr="004052DA">
        <w:rPr>
          <w:sz w:val="18"/>
          <w:szCs w:val="18"/>
          <w:lang w:val="fr-CH"/>
        </w:rPr>
        <w:tab/>
      </w:r>
    </w:p>
  </w:footnote>
  <w:footnote w:id="9">
    <w:p w14:paraId="480FB787" w14:textId="77777777" w:rsidR="00F53E29" w:rsidRPr="004052DA" w:rsidRDefault="00F53E29" w:rsidP="00494BC4">
      <w:pPr>
        <w:pStyle w:val="FootnoteText"/>
        <w:rPr>
          <w:sz w:val="18"/>
          <w:szCs w:val="18"/>
          <w:lang w:val="en-GB"/>
        </w:rPr>
      </w:pPr>
      <w:r w:rsidRPr="004052DA">
        <w:rPr>
          <w:rStyle w:val="FootnoteReference"/>
          <w:sz w:val="18"/>
          <w:szCs w:val="18"/>
        </w:rPr>
        <w:footnoteRef/>
      </w:r>
      <w:r w:rsidRPr="004052DA">
        <w:rPr>
          <w:sz w:val="18"/>
          <w:szCs w:val="18"/>
          <w:lang w:val="fr-CH"/>
        </w:rPr>
        <w:t xml:space="preserve"> Vasileiou et al. </w:t>
      </w:r>
      <w:r w:rsidRPr="004052DA">
        <w:rPr>
          <w:sz w:val="18"/>
          <w:szCs w:val="18"/>
        </w:rPr>
        <w:t>Effectiveness of First Dose of COVID-19 Vaccines Against Hospital Admissions in Scotland: National Prospective Cohort Study of 5.4 Million People. The Lancet. 2021.</w:t>
      </w:r>
      <w:r w:rsidRPr="004052DA">
        <w:rPr>
          <w:sz w:val="18"/>
          <w:szCs w:val="18"/>
          <w:lang w:val="en-GB"/>
        </w:rPr>
        <w:t xml:space="preserve">(preprint). </w:t>
      </w:r>
      <w:hyperlink r:id="rId8" w:history="1">
        <w:r w:rsidRPr="004052DA">
          <w:rPr>
            <w:rStyle w:val="Hyperlink"/>
            <w:sz w:val="18"/>
            <w:szCs w:val="18"/>
            <w:lang w:val="en-GB"/>
          </w:rPr>
          <w:t>https://papers.ssrn.com/sol3/papers.cfm?abstract_id=3789264</w:t>
        </w:r>
      </w:hyperlink>
      <w:r w:rsidRPr="004052DA">
        <w:rPr>
          <w:sz w:val="18"/>
          <w:szCs w:val="18"/>
          <w:lang w:val="en-GB"/>
        </w:rPr>
        <w:tab/>
      </w:r>
    </w:p>
  </w:footnote>
  <w:footnote w:id="10">
    <w:p w14:paraId="1E00980D" w14:textId="77777777" w:rsidR="00F53E29" w:rsidRPr="004052DA" w:rsidRDefault="00F53E29" w:rsidP="00494BC4">
      <w:pPr>
        <w:pStyle w:val="FootnoteText"/>
        <w:rPr>
          <w:sz w:val="18"/>
          <w:szCs w:val="18"/>
        </w:rPr>
      </w:pPr>
      <w:r w:rsidRPr="004052DA">
        <w:rPr>
          <w:rStyle w:val="FootnoteReference"/>
          <w:sz w:val="18"/>
          <w:szCs w:val="18"/>
        </w:rPr>
        <w:footnoteRef/>
      </w:r>
      <w:r w:rsidRPr="004052DA">
        <w:rPr>
          <w:sz w:val="18"/>
          <w:szCs w:val="18"/>
        </w:rPr>
        <w:t xml:space="preserve"> Global Advisory Committee on Vaccine Safety (GACVS) review of latest evidence of rare adverse blood coagulation events with AstraZeneca COVID-19 Vaccine (Vaxzevria and Covishield) </w:t>
      </w:r>
    </w:p>
    <w:p w14:paraId="17D5F4AE" w14:textId="77777777" w:rsidR="00F53E29" w:rsidRPr="004052DA" w:rsidRDefault="00F53E29" w:rsidP="00494BC4">
      <w:pPr>
        <w:pStyle w:val="FootnoteText"/>
        <w:rPr>
          <w:sz w:val="18"/>
          <w:szCs w:val="18"/>
        </w:rPr>
      </w:pPr>
      <w:hyperlink r:id="rId9" w:history="1">
        <w:r w:rsidRPr="004052DA">
          <w:rPr>
            <w:rStyle w:val="Hyperlink"/>
            <w:sz w:val="18"/>
            <w:szCs w:val="18"/>
          </w:rPr>
          <w:t>https://www.who.int/news/item/16-04-2021-global-advisory-committee-on-vaccine-safety-(gacvs)-review-of-latest-evidence-of-rare-adverse-blood-coagulation-events-with-astrazeneca-covid-19-vaccine-(vaxzevria-and-covishield)</w:t>
        </w:r>
      </w:hyperlink>
      <w:r w:rsidRPr="004052DA">
        <w:rPr>
          <w:sz w:val="18"/>
          <w:szCs w:val="18"/>
        </w:rPr>
        <w:t xml:space="preserve"> </w:t>
      </w:r>
    </w:p>
  </w:footnote>
  <w:footnote w:id="11">
    <w:p w14:paraId="06187568" w14:textId="77777777" w:rsidR="00F53E29" w:rsidRPr="001B15DE" w:rsidRDefault="00F53E29" w:rsidP="00494BC4">
      <w:pPr>
        <w:pStyle w:val="FootnoteText"/>
        <w:rPr>
          <w:lang w:val="en-GB"/>
        </w:rPr>
      </w:pPr>
      <w:r w:rsidRPr="004052DA">
        <w:rPr>
          <w:rStyle w:val="FootnoteReference"/>
          <w:sz w:val="18"/>
          <w:szCs w:val="18"/>
        </w:rPr>
        <w:footnoteRef/>
      </w:r>
      <w:r w:rsidRPr="004052DA">
        <w:rPr>
          <w:sz w:val="18"/>
          <w:szCs w:val="18"/>
        </w:rPr>
        <w:t xml:space="preserve"> Shaw et al. Heterologous prime-boost COVID-19 vaccination: initial reactogenicity data. The Lancet.2021. </w:t>
      </w:r>
      <w:hyperlink r:id="rId10" w:history="1">
        <w:r w:rsidRPr="004052DA">
          <w:rPr>
            <w:rStyle w:val="Hyperlink"/>
            <w:sz w:val="18"/>
            <w:szCs w:val="18"/>
            <w:lang w:val="en-GB"/>
          </w:rPr>
          <w:t>https://doi.org/10.1016/S0140-6736(21)01115-6</w:t>
        </w:r>
      </w:hyperlink>
      <w:r w:rsidRPr="001B15DE">
        <w:rPr>
          <w:lang w:val="en-GB"/>
        </w:rPr>
        <w:tab/>
      </w:r>
    </w:p>
  </w:footnote>
  <w:footnote w:id="12">
    <w:p w14:paraId="4869676D" w14:textId="26520C82" w:rsidR="00F53E29" w:rsidRPr="00A65C52" w:rsidRDefault="00F53E29" w:rsidP="00494BC4">
      <w:pPr>
        <w:pStyle w:val="FootnoteText"/>
      </w:pPr>
      <w:r w:rsidRPr="00A65C52">
        <w:rPr>
          <w:rStyle w:val="FootnoteReference"/>
        </w:rPr>
        <w:footnoteRef/>
      </w:r>
      <w:r w:rsidRPr="00A65C52">
        <w:t xml:space="preserve"> Emary K. et al. Efficacy of ChAdOx1 nCoV-19 (AZD1222) vaccine against</w:t>
      </w:r>
      <w:r>
        <w:t xml:space="preserve"> </w:t>
      </w:r>
      <w:r w:rsidRPr="00A65C52">
        <w:t xml:space="preserve">SARS-CoV-2 variant of concern 202012/01 (B.1.1.7): an exploratory analysis of a randomised controlled trial. Lancet. 2021; 397: 1351–62. </w:t>
      </w:r>
      <w:hyperlink r:id="rId11" w:history="1">
        <w:r w:rsidRPr="00BB5EFB">
          <w:rPr>
            <w:rStyle w:val="Hyperlink"/>
          </w:rPr>
          <w:t>https://doi.org/10.1016/S0140-6736(21)00628-0</w:t>
        </w:r>
      </w:hyperlink>
      <w:r>
        <w:t xml:space="preserve"> </w:t>
      </w:r>
      <w:r w:rsidRPr="00A65C52">
        <w:t xml:space="preserve"> </w:t>
      </w:r>
    </w:p>
  </w:footnote>
  <w:footnote w:id="13">
    <w:p w14:paraId="0EB19E09" w14:textId="42ADE5A0" w:rsidR="00F53E29" w:rsidRPr="00A65C52" w:rsidRDefault="00F53E29" w:rsidP="00494BC4">
      <w:pPr>
        <w:pStyle w:val="FootnoteText"/>
      </w:pPr>
      <w:r w:rsidRPr="00A65C52">
        <w:rPr>
          <w:rStyle w:val="FootnoteReference"/>
        </w:rPr>
        <w:footnoteRef/>
      </w:r>
      <w:r w:rsidRPr="00A65C52">
        <w:t xml:space="preserve"> Shah AS, Gribben C, Bishop J, Hanlon P, Caldwell D, Wood R, et al. Effect of vaccination on transmission of COVID-19: an observational study in healthcare workers and their households. medRxiv [Preprint]. 2021. [Online] </w:t>
      </w:r>
      <w:hyperlink r:id="rId12" w:history="1">
        <w:r w:rsidRPr="00BB5EFB">
          <w:rPr>
            <w:rStyle w:val="Hyperlink"/>
          </w:rPr>
          <w:t>www.medrxiv.org/content/10.1101/2021.03.11.21253275v1</w:t>
        </w:r>
      </w:hyperlink>
      <w:r>
        <w:t xml:space="preserve"> </w:t>
      </w:r>
      <w:r w:rsidRPr="00A65C52">
        <w:t>. DOI: 10.1101/2021.03.11.21253275.</w:t>
      </w:r>
    </w:p>
  </w:footnote>
  <w:footnote w:id="14">
    <w:p w14:paraId="4F088627" w14:textId="77777777" w:rsidR="00F53E29" w:rsidRPr="00A65C52" w:rsidRDefault="00F53E29" w:rsidP="00494BC4">
      <w:pPr>
        <w:pStyle w:val="FootnoteText"/>
      </w:pPr>
      <w:r w:rsidRPr="00A65C52">
        <w:rPr>
          <w:rStyle w:val="FootnoteReference"/>
        </w:rPr>
        <w:footnoteRef/>
      </w:r>
      <w:r w:rsidRPr="00A65C52">
        <w:t xml:space="preserve"> Public Health England. COVID-19 vaccine surveillance report Week 20. </w:t>
      </w:r>
      <w:hyperlink r:id="rId13" w:history="1">
        <w:r w:rsidRPr="00A65C52">
          <w:rPr>
            <w:rStyle w:val="Hyperlink"/>
          </w:rPr>
          <w:t>https://assets.publishing.service.gov.uk/government/uploads/system/uploads/attachment_data/file/988172/Vaccine_surveillance_report_-_week_20.pdf</w:t>
        </w:r>
      </w:hyperlink>
      <w:r w:rsidRPr="00A65C52">
        <w:t xml:space="preserve"> </w:t>
      </w:r>
    </w:p>
  </w:footnote>
  <w:footnote w:id="15">
    <w:p w14:paraId="150F5991" w14:textId="77777777" w:rsidR="00F53E29" w:rsidRPr="00A65C52" w:rsidRDefault="00F53E29" w:rsidP="00494BC4">
      <w:pPr>
        <w:pStyle w:val="FootnoteText"/>
        <w:rPr>
          <w:lang w:val="fr-CH"/>
        </w:rPr>
      </w:pPr>
      <w:r w:rsidRPr="00A65C52">
        <w:rPr>
          <w:rStyle w:val="FootnoteReference"/>
        </w:rPr>
        <w:footnoteRef/>
      </w:r>
      <w:r w:rsidRPr="00A65C52">
        <w:rPr>
          <w:lang w:val="fr-FR"/>
        </w:rPr>
        <w:t xml:space="preserve"> Bernal Lopes J et al. </w:t>
      </w:r>
      <w:r w:rsidRPr="00A65C52">
        <w:t xml:space="preserve">Effectiveness of COVID-19 vaccines against the B.1.617.2 variant. </w:t>
      </w:r>
      <w:r w:rsidRPr="00A65C52">
        <w:rPr>
          <w:lang w:val="fr-CH"/>
        </w:rPr>
        <w:t xml:space="preserve">2021. (preprint) </w:t>
      </w:r>
      <w:hyperlink r:id="rId14" w:history="1">
        <w:r w:rsidRPr="00A65C52">
          <w:rPr>
            <w:rStyle w:val="Hyperlink"/>
            <w:lang w:val="fr-CH"/>
          </w:rPr>
          <w:t>https://khub.net/documents/135939561/430986542/Effectiveness+of+COVID-19+vaccines+against+the+B.1.617.2+variant.pdf/204c11a4-e02e-11f2-db19-b3664107ac42</w:t>
        </w:r>
      </w:hyperlink>
      <w:r w:rsidRPr="00A65C52">
        <w:rPr>
          <w:lang w:val="fr-CH"/>
        </w:rPr>
        <w:t xml:space="preserve"> </w:t>
      </w:r>
    </w:p>
  </w:footnote>
  <w:footnote w:id="16">
    <w:p w14:paraId="08EBC986" w14:textId="5471A8D0" w:rsidR="00F53E29" w:rsidRPr="00A65C52" w:rsidRDefault="00F53E29" w:rsidP="00494BC4">
      <w:pPr>
        <w:pStyle w:val="FootnoteText"/>
      </w:pPr>
      <w:r w:rsidRPr="00A65C52">
        <w:rPr>
          <w:rStyle w:val="FootnoteReference"/>
        </w:rPr>
        <w:footnoteRef/>
      </w:r>
      <w:r w:rsidRPr="00A65C52">
        <w:t xml:space="preserve"> Madhi et al. Efficacy of the ChAdOx1 nCoV-19 Covid-19 Vaccine against the B.1.351 Variant. The New England Journal of Medicine.2021. </w:t>
      </w:r>
      <w:hyperlink r:id="rId15" w:history="1">
        <w:r w:rsidRPr="00A65C52">
          <w:rPr>
            <w:rStyle w:val="Hyperlink"/>
          </w:rPr>
          <w:t>https://www.nejm.org/doi/full/10.1056/nejmoa2102214</w:t>
        </w:r>
      </w:hyperlink>
    </w:p>
  </w:footnote>
  <w:footnote w:id="17">
    <w:p w14:paraId="589ED5D9" w14:textId="27662588" w:rsidR="00F53E29" w:rsidRPr="00A65C52" w:rsidRDefault="00F53E29" w:rsidP="00494BC4">
      <w:pPr>
        <w:pStyle w:val="FootnoteText"/>
        <w:rPr>
          <w:lang w:val="fr-CH"/>
        </w:rPr>
      </w:pPr>
      <w:r w:rsidRPr="00A65C52">
        <w:rPr>
          <w:rStyle w:val="FootnoteReference"/>
        </w:rPr>
        <w:footnoteRef/>
      </w:r>
      <w:r w:rsidRPr="00A65C52">
        <w:t xml:space="preserve"> Garcia-Beltran et al. COVID-19-neutralizing antibodies predict disease severity and survival. </w:t>
      </w:r>
      <w:r w:rsidRPr="00A65C52">
        <w:rPr>
          <w:lang w:val="fr-CH"/>
        </w:rPr>
        <w:t xml:space="preserve">Cell. 2021;184(2):479-488. </w:t>
      </w:r>
      <w:hyperlink r:id="rId16" w:history="1">
        <w:r w:rsidRPr="00A65C52">
          <w:rPr>
            <w:rStyle w:val="Hyperlink"/>
            <w:lang w:val="fr-CH"/>
          </w:rPr>
          <w:t>https://www.cell.com/cell/fulltext/S0092-8674%2820%2931685-8</w:t>
        </w:r>
      </w:hyperlink>
    </w:p>
  </w:footnote>
  <w:footnote w:id="18">
    <w:p w14:paraId="607EBA33" w14:textId="77777777" w:rsidR="00F53E29" w:rsidRPr="00A65C52" w:rsidRDefault="00F53E29" w:rsidP="00494BC4">
      <w:pPr>
        <w:pStyle w:val="FootnoteText"/>
        <w:rPr>
          <w:lang w:val="fr-CH"/>
        </w:rPr>
      </w:pPr>
      <w:r w:rsidRPr="00A65C52">
        <w:rPr>
          <w:rStyle w:val="FootnoteReference"/>
        </w:rPr>
        <w:footnoteRef/>
      </w:r>
      <w:r w:rsidRPr="00A65C52">
        <w:rPr>
          <w:lang w:val="fr-CH"/>
        </w:rPr>
        <w:t xml:space="preserve"> Garcia-Beltran et al. </w:t>
      </w:r>
      <w:r w:rsidRPr="00A65C52">
        <w:t xml:space="preserve">Multiple SARS-CoV-2 variants escape neutralization by vaccine-induced humoral immunity. </w:t>
      </w:r>
      <w:r w:rsidRPr="00A65C52">
        <w:rPr>
          <w:lang w:val="fr-CH"/>
        </w:rPr>
        <w:t xml:space="preserve">Cell. 2021; 184:2372-83. </w:t>
      </w:r>
      <w:hyperlink r:id="rId17" w:history="1">
        <w:r w:rsidRPr="00A65C52">
          <w:rPr>
            <w:rStyle w:val="Hyperlink"/>
            <w:lang w:val="fr-CH"/>
          </w:rPr>
          <w:t>https://www.cell.com/cell/pdf/S0092-8674(21)00298-1.pdf</w:t>
        </w:r>
      </w:hyperlink>
      <w:r w:rsidRPr="00A65C52">
        <w:rPr>
          <w:lang w:val="fr-CH"/>
        </w:rPr>
        <w:t xml:space="preserve"> </w:t>
      </w:r>
    </w:p>
  </w:footnote>
  <w:footnote w:id="19">
    <w:p w14:paraId="78BA2498" w14:textId="03844F47" w:rsidR="00F53E29" w:rsidRPr="00A65C52" w:rsidRDefault="00F53E29" w:rsidP="00494BC4">
      <w:pPr>
        <w:pStyle w:val="FootnoteText"/>
        <w:rPr>
          <w:lang w:val="fr-CH"/>
        </w:rPr>
      </w:pPr>
      <w:r w:rsidRPr="00A65C52">
        <w:rPr>
          <w:rStyle w:val="FootnoteReference"/>
        </w:rPr>
        <w:footnoteRef/>
      </w:r>
      <w:r w:rsidRPr="00A65C52">
        <w:rPr>
          <w:lang w:val="fr-CH"/>
        </w:rPr>
        <w:t xml:space="preserve"> Dejnirattisai et al. </w:t>
      </w:r>
      <w:r w:rsidRPr="00A65C52">
        <w:t xml:space="preserve">Antibody evasion by the P.1 strain of SARS-CoV-2. </w:t>
      </w:r>
      <w:r w:rsidRPr="00A65C52">
        <w:rPr>
          <w:lang w:val="fr-CH"/>
        </w:rPr>
        <w:t xml:space="preserve">Cell. 2021;184:1-16. </w:t>
      </w:r>
      <w:hyperlink r:id="rId18" w:history="1">
        <w:r w:rsidRPr="00A65C52">
          <w:rPr>
            <w:rStyle w:val="Hyperlink"/>
            <w:lang w:val="fr-CH"/>
          </w:rPr>
          <w:t>https://www.cell.com/cell/pdf/S0092-8674(21)00428-1.pdf</w:t>
        </w:r>
      </w:hyperlink>
    </w:p>
  </w:footnote>
  <w:footnote w:id="20">
    <w:p w14:paraId="181AD4E8" w14:textId="50F93573" w:rsidR="00F53E29" w:rsidRPr="00A65C52" w:rsidRDefault="00F53E29" w:rsidP="00494BC4">
      <w:pPr>
        <w:pStyle w:val="FootnoteText"/>
        <w:rPr>
          <w:lang w:val="fr-CH"/>
        </w:rPr>
      </w:pPr>
      <w:r w:rsidRPr="00A65C52">
        <w:rPr>
          <w:rStyle w:val="FootnoteReference"/>
        </w:rPr>
        <w:footnoteRef/>
      </w:r>
      <w:r w:rsidRPr="00A65C52">
        <w:rPr>
          <w:lang w:val="fr-CH"/>
        </w:rPr>
        <w:t xml:space="preserve"> Yadav et al. </w:t>
      </w:r>
      <w:r w:rsidRPr="00A65C52">
        <w:t xml:space="preserve">Neutralization potential of Covishield vaccinated individuals sera against B.1.617.1. bioRxiv (preprint). </w:t>
      </w:r>
      <w:hyperlink r:id="rId19" w:history="1">
        <w:r w:rsidRPr="00A65C52">
          <w:rPr>
            <w:rStyle w:val="Hyperlink"/>
            <w:lang w:val="fr-CH"/>
          </w:rPr>
          <w:t>https://www.biorxiv.org/content/10.1101/2021.05.12.443645v1.full.pdf</w:t>
        </w:r>
      </w:hyperlink>
    </w:p>
  </w:footnote>
  <w:footnote w:id="21">
    <w:p w14:paraId="58667B28" w14:textId="4EB66C45" w:rsidR="00F53E29" w:rsidRPr="00A65C52" w:rsidRDefault="00F53E29" w:rsidP="00494BC4">
      <w:pPr>
        <w:pStyle w:val="FootnoteText"/>
      </w:pPr>
      <w:r w:rsidRPr="00A65C52">
        <w:rPr>
          <w:rStyle w:val="FootnoteReference"/>
        </w:rPr>
        <w:footnoteRef/>
      </w:r>
      <w:r w:rsidRPr="00A65C52">
        <w:rPr>
          <w:lang w:val="fr-CH"/>
        </w:rPr>
        <w:t xml:space="preserve"> Zhou et al. </w:t>
      </w:r>
      <w:r w:rsidRPr="00A65C52">
        <w:t xml:space="preserve">Evidence of escape of SARS-CoV-2 variant B.1.351 from natural and vaccine-induced sera. Cell. 2021;184(9):P2348-2361 DOI: </w:t>
      </w:r>
      <w:hyperlink r:id="rId20" w:history="1">
        <w:r w:rsidRPr="00FA0DC7">
          <w:rPr>
            <w:rStyle w:val="Hyperlink"/>
          </w:rPr>
          <w:t>https://doi.org/10.1016/j.cell.2021.02.037</w:t>
        </w:r>
      </w:hyperlink>
      <w:r>
        <w:t xml:space="preserve"> </w:t>
      </w:r>
    </w:p>
  </w:footnote>
  <w:footnote w:id="22">
    <w:p w14:paraId="6E8F942E" w14:textId="476475D3" w:rsidR="00F53E29" w:rsidRPr="00A65C52" w:rsidRDefault="00F53E29" w:rsidP="00494BC4">
      <w:pPr>
        <w:pStyle w:val="FootnoteText"/>
        <w:rPr>
          <w:sz w:val="22"/>
          <w:szCs w:val="22"/>
          <w:lang w:val="en-GB"/>
        </w:rPr>
      </w:pPr>
      <w:r w:rsidRPr="00A65C52">
        <w:rPr>
          <w:rStyle w:val="FootnoteReference"/>
        </w:rPr>
        <w:footnoteRef/>
      </w:r>
      <w:r w:rsidRPr="00A65C52">
        <w:rPr>
          <w:lang w:val="en-GB"/>
        </w:rPr>
        <w:t xml:space="preserve"> WHO SAGE Roadmap For Prioritizing Uses Of COVID-19 Vaccines In The Context Of Limited Supply. November 13, 2020. </w:t>
      </w:r>
      <w:hyperlink r:id="rId21" w:history="1">
        <w:r w:rsidRPr="00A65C52">
          <w:rPr>
            <w:rStyle w:val="Hyperlink"/>
            <w:lang w:val="en-GB"/>
          </w:rPr>
          <w:t>https://www.who.int/publications/m/item/who-sage-roadmap-for-prioritizing-uses-of-covid-19-vaccines-in-the-context-of-limited-supply</w:t>
        </w:r>
      </w:hyperlink>
    </w:p>
  </w:footnote>
  <w:footnote w:id="23">
    <w:p w14:paraId="1534A312" w14:textId="77777777" w:rsidR="00F53E29" w:rsidRPr="00A65C52" w:rsidRDefault="00F53E29" w:rsidP="00494BC4">
      <w:pPr>
        <w:pStyle w:val="FootnoteText"/>
        <w:rPr>
          <w:lang w:val="fr-CH"/>
        </w:rPr>
      </w:pPr>
      <w:r w:rsidRPr="00A65C52">
        <w:rPr>
          <w:rStyle w:val="FootnoteReference"/>
        </w:rPr>
        <w:footnoteRef/>
      </w:r>
      <w:r w:rsidRPr="00A65C52">
        <w:t xml:space="preserve"> Hill EM and Keeling MJ. Comparison between one and two dose SARS-CoV-2 vaccine prioritisation for a fixed number of vaccine doses. </w:t>
      </w:r>
      <w:r w:rsidRPr="00A65C52">
        <w:rPr>
          <w:lang w:val="fr-CH"/>
        </w:rPr>
        <w:t xml:space="preserve">2021. Medrixiv (preprint) </w:t>
      </w:r>
      <w:hyperlink r:id="rId22" w:history="1">
        <w:r w:rsidRPr="00A65C52">
          <w:rPr>
            <w:rStyle w:val="Hyperlink"/>
            <w:lang w:val="fr-CH"/>
          </w:rPr>
          <w:t>https://www.medrxiv.org/content/10.1101/2020.12.31.20249099v4</w:t>
        </w:r>
      </w:hyperlink>
      <w:r w:rsidRPr="00A65C52">
        <w:rPr>
          <w:lang w:val="fr-CH"/>
        </w:rPr>
        <w:t xml:space="preserve"> </w:t>
      </w:r>
    </w:p>
  </w:footnote>
  <w:footnote w:id="24">
    <w:p w14:paraId="1F60B4D8" w14:textId="6286AB8F" w:rsidR="00F53E29" w:rsidRPr="004052DA" w:rsidRDefault="00F53E29" w:rsidP="00494BC4">
      <w:pPr>
        <w:pStyle w:val="FootnoteText"/>
        <w:rPr>
          <w:sz w:val="18"/>
          <w:szCs w:val="18"/>
        </w:rPr>
      </w:pPr>
      <w:r w:rsidRPr="00A65C52">
        <w:rPr>
          <w:rStyle w:val="FootnoteReference"/>
        </w:rPr>
        <w:footnoteRef/>
      </w:r>
      <w:r w:rsidRPr="00A65C52">
        <w:rPr>
          <w:lang w:val="fr-CH"/>
        </w:rPr>
        <w:t xml:space="preserve"> Matrajt L et al. </w:t>
      </w:r>
      <w:r w:rsidRPr="00A65C52">
        <w:t>Optimizing vaccine allocation for COVID-19 vaccines: potential role of single-dose vaccination</w:t>
      </w:r>
      <w:r>
        <w:t xml:space="preserve"> </w:t>
      </w:r>
      <w:r w:rsidRPr="00A65C52">
        <w:t xml:space="preserve">medrixiv (preprint) </w:t>
      </w:r>
      <w:hyperlink r:id="rId23" w:history="1">
        <w:r w:rsidRPr="00A65C52">
          <w:rPr>
            <w:rStyle w:val="Hyperlink"/>
          </w:rPr>
          <w:t>https://www.medrxiv.org/content/10.1101/2021.03.15.21253542v1.full</w:t>
        </w:r>
      </w:hyperlink>
      <w:r w:rsidRPr="004052DA">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CDEF3" w14:textId="2D0AB545" w:rsidR="00F53E29" w:rsidRPr="00E823D0" w:rsidRDefault="00F53E29" w:rsidP="00494BC4">
    <w:pPr>
      <w:pStyle w:val="docheader"/>
      <w:rPr>
        <w:sz w:val="18"/>
        <w:szCs w:val="20"/>
      </w:rPr>
    </w:pPr>
    <w:r w:rsidRPr="00E823D0">
      <w:rPr>
        <w:sz w:val="18"/>
        <w:szCs w:val="20"/>
      </w:rPr>
      <w:t>Technical note on delayed shipments for the ChAdOx1-S [recombinant] vaccines: what are the implications for the administration of second doses?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57"/>
    <w:multiLevelType w:val="hybridMultilevel"/>
    <w:tmpl w:val="F744A094"/>
    <w:lvl w:ilvl="0" w:tplc="E842CBD8">
      <w:start w:val="1"/>
      <w:numFmt w:val="bullet"/>
      <w:lvlText w:val="•"/>
      <w:lvlJc w:val="left"/>
      <w:pPr>
        <w:tabs>
          <w:tab w:val="num" w:pos="720"/>
        </w:tabs>
        <w:ind w:left="720" w:hanging="360"/>
      </w:pPr>
      <w:rPr>
        <w:rFonts w:ascii="Arial" w:hAnsi="Arial" w:cs="Times New Roman" w:hint="default"/>
      </w:rPr>
    </w:lvl>
    <w:lvl w:ilvl="1" w:tplc="C2526ACC">
      <w:start w:val="1"/>
      <w:numFmt w:val="bullet"/>
      <w:lvlText w:val="•"/>
      <w:lvlJc w:val="left"/>
      <w:pPr>
        <w:tabs>
          <w:tab w:val="num" w:pos="1440"/>
        </w:tabs>
        <w:ind w:left="1440" w:hanging="360"/>
      </w:pPr>
      <w:rPr>
        <w:rFonts w:ascii="Arial" w:hAnsi="Arial" w:cs="Times New Roman" w:hint="default"/>
      </w:rPr>
    </w:lvl>
    <w:lvl w:ilvl="2" w:tplc="B2CCAFA4">
      <w:start w:val="1"/>
      <w:numFmt w:val="bullet"/>
      <w:lvlText w:val="•"/>
      <w:lvlJc w:val="left"/>
      <w:pPr>
        <w:tabs>
          <w:tab w:val="num" w:pos="2160"/>
        </w:tabs>
        <w:ind w:left="2160" w:hanging="360"/>
      </w:pPr>
      <w:rPr>
        <w:rFonts w:ascii="Arial" w:hAnsi="Arial" w:cs="Times New Roman" w:hint="default"/>
      </w:rPr>
    </w:lvl>
    <w:lvl w:ilvl="3" w:tplc="AFA625B4">
      <w:start w:val="1"/>
      <w:numFmt w:val="bullet"/>
      <w:lvlText w:val="•"/>
      <w:lvlJc w:val="left"/>
      <w:pPr>
        <w:tabs>
          <w:tab w:val="num" w:pos="2880"/>
        </w:tabs>
        <w:ind w:left="2880" w:hanging="360"/>
      </w:pPr>
      <w:rPr>
        <w:rFonts w:ascii="Arial" w:hAnsi="Arial" w:cs="Times New Roman" w:hint="default"/>
      </w:rPr>
    </w:lvl>
    <w:lvl w:ilvl="4" w:tplc="B366BDEC">
      <w:start w:val="1"/>
      <w:numFmt w:val="bullet"/>
      <w:lvlText w:val="•"/>
      <w:lvlJc w:val="left"/>
      <w:pPr>
        <w:tabs>
          <w:tab w:val="num" w:pos="3600"/>
        </w:tabs>
        <w:ind w:left="3600" w:hanging="360"/>
      </w:pPr>
      <w:rPr>
        <w:rFonts w:ascii="Arial" w:hAnsi="Arial" w:cs="Times New Roman" w:hint="default"/>
      </w:rPr>
    </w:lvl>
    <w:lvl w:ilvl="5" w:tplc="BF3868DC">
      <w:start w:val="1"/>
      <w:numFmt w:val="bullet"/>
      <w:lvlText w:val="•"/>
      <w:lvlJc w:val="left"/>
      <w:pPr>
        <w:tabs>
          <w:tab w:val="num" w:pos="4320"/>
        </w:tabs>
        <w:ind w:left="4320" w:hanging="360"/>
      </w:pPr>
      <w:rPr>
        <w:rFonts w:ascii="Arial" w:hAnsi="Arial" w:cs="Times New Roman" w:hint="default"/>
      </w:rPr>
    </w:lvl>
    <w:lvl w:ilvl="6" w:tplc="476432F6">
      <w:start w:val="1"/>
      <w:numFmt w:val="bullet"/>
      <w:lvlText w:val="•"/>
      <w:lvlJc w:val="left"/>
      <w:pPr>
        <w:tabs>
          <w:tab w:val="num" w:pos="5040"/>
        </w:tabs>
        <w:ind w:left="5040" w:hanging="360"/>
      </w:pPr>
      <w:rPr>
        <w:rFonts w:ascii="Arial" w:hAnsi="Arial" w:cs="Times New Roman" w:hint="default"/>
      </w:rPr>
    </w:lvl>
    <w:lvl w:ilvl="7" w:tplc="83D86F72">
      <w:start w:val="1"/>
      <w:numFmt w:val="bullet"/>
      <w:lvlText w:val="•"/>
      <w:lvlJc w:val="left"/>
      <w:pPr>
        <w:tabs>
          <w:tab w:val="num" w:pos="5760"/>
        </w:tabs>
        <w:ind w:left="5760" w:hanging="360"/>
      </w:pPr>
      <w:rPr>
        <w:rFonts w:ascii="Arial" w:hAnsi="Arial" w:cs="Times New Roman" w:hint="default"/>
      </w:rPr>
    </w:lvl>
    <w:lvl w:ilvl="8" w:tplc="DD6E3E34">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6C7A4E77"/>
    <w:multiLevelType w:val="hybridMultilevel"/>
    <w:tmpl w:val="CF9C0D4A"/>
    <w:lvl w:ilvl="0" w:tplc="E842CBD8">
      <w:start w:val="1"/>
      <w:numFmt w:val="bullet"/>
      <w:lvlText w:val="•"/>
      <w:lvlJc w:val="left"/>
      <w:pPr>
        <w:tabs>
          <w:tab w:val="num" w:pos="720"/>
        </w:tabs>
        <w:ind w:left="720" w:hanging="360"/>
      </w:pPr>
      <w:rPr>
        <w:rFonts w:ascii="Arial" w:hAnsi="Arial" w:cs="Times New Roman" w:hint="default"/>
      </w:rPr>
    </w:lvl>
    <w:lvl w:ilvl="1" w:tplc="7D28CA06">
      <w:start w:val="1"/>
      <w:numFmt w:val="bullet"/>
      <w:lvlText w:val=""/>
      <w:lvlJc w:val="left"/>
      <w:pPr>
        <w:tabs>
          <w:tab w:val="num" w:pos="1440"/>
        </w:tabs>
        <w:ind w:left="1440" w:hanging="360"/>
      </w:pPr>
      <w:rPr>
        <w:rFonts w:ascii="Symbol" w:hAnsi="Symbol" w:hint="default"/>
      </w:rPr>
    </w:lvl>
    <w:lvl w:ilvl="2" w:tplc="B2CCAFA4">
      <w:start w:val="1"/>
      <w:numFmt w:val="bullet"/>
      <w:lvlText w:val="•"/>
      <w:lvlJc w:val="left"/>
      <w:pPr>
        <w:tabs>
          <w:tab w:val="num" w:pos="2160"/>
        </w:tabs>
        <w:ind w:left="2160" w:hanging="360"/>
      </w:pPr>
      <w:rPr>
        <w:rFonts w:ascii="Arial" w:hAnsi="Arial" w:cs="Times New Roman" w:hint="default"/>
      </w:rPr>
    </w:lvl>
    <w:lvl w:ilvl="3" w:tplc="AFA625B4">
      <w:start w:val="1"/>
      <w:numFmt w:val="bullet"/>
      <w:lvlText w:val="•"/>
      <w:lvlJc w:val="left"/>
      <w:pPr>
        <w:tabs>
          <w:tab w:val="num" w:pos="2880"/>
        </w:tabs>
        <w:ind w:left="2880" w:hanging="360"/>
      </w:pPr>
      <w:rPr>
        <w:rFonts w:ascii="Arial" w:hAnsi="Arial" w:cs="Times New Roman" w:hint="default"/>
      </w:rPr>
    </w:lvl>
    <w:lvl w:ilvl="4" w:tplc="B366BDEC">
      <w:start w:val="1"/>
      <w:numFmt w:val="bullet"/>
      <w:lvlText w:val="•"/>
      <w:lvlJc w:val="left"/>
      <w:pPr>
        <w:tabs>
          <w:tab w:val="num" w:pos="3600"/>
        </w:tabs>
        <w:ind w:left="3600" w:hanging="360"/>
      </w:pPr>
      <w:rPr>
        <w:rFonts w:ascii="Arial" w:hAnsi="Arial" w:cs="Times New Roman" w:hint="default"/>
      </w:rPr>
    </w:lvl>
    <w:lvl w:ilvl="5" w:tplc="BF3868DC">
      <w:start w:val="1"/>
      <w:numFmt w:val="bullet"/>
      <w:lvlText w:val="•"/>
      <w:lvlJc w:val="left"/>
      <w:pPr>
        <w:tabs>
          <w:tab w:val="num" w:pos="4320"/>
        </w:tabs>
        <w:ind w:left="4320" w:hanging="360"/>
      </w:pPr>
      <w:rPr>
        <w:rFonts w:ascii="Arial" w:hAnsi="Arial" w:cs="Times New Roman" w:hint="default"/>
      </w:rPr>
    </w:lvl>
    <w:lvl w:ilvl="6" w:tplc="476432F6">
      <w:start w:val="1"/>
      <w:numFmt w:val="bullet"/>
      <w:lvlText w:val="•"/>
      <w:lvlJc w:val="left"/>
      <w:pPr>
        <w:tabs>
          <w:tab w:val="num" w:pos="5040"/>
        </w:tabs>
        <w:ind w:left="5040" w:hanging="360"/>
      </w:pPr>
      <w:rPr>
        <w:rFonts w:ascii="Arial" w:hAnsi="Arial" w:cs="Times New Roman" w:hint="default"/>
      </w:rPr>
    </w:lvl>
    <w:lvl w:ilvl="7" w:tplc="83D86F72">
      <w:start w:val="1"/>
      <w:numFmt w:val="bullet"/>
      <w:lvlText w:val="•"/>
      <w:lvlJc w:val="left"/>
      <w:pPr>
        <w:tabs>
          <w:tab w:val="num" w:pos="5760"/>
        </w:tabs>
        <w:ind w:left="5760" w:hanging="360"/>
      </w:pPr>
      <w:rPr>
        <w:rFonts w:ascii="Arial" w:hAnsi="Arial" w:cs="Times New Roman" w:hint="default"/>
      </w:rPr>
    </w:lvl>
    <w:lvl w:ilvl="8" w:tplc="DD6E3E34">
      <w:start w:val="1"/>
      <w:numFmt w:val="bullet"/>
      <w:lvlText w:val="•"/>
      <w:lvlJc w:val="left"/>
      <w:pPr>
        <w:tabs>
          <w:tab w:val="num" w:pos="6480"/>
        </w:tabs>
        <w:ind w:left="6480" w:hanging="360"/>
      </w:pPr>
      <w:rPr>
        <w:rFonts w:ascii="Arial" w:hAnsi="Arial"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BC4"/>
    <w:rsid w:val="0000119A"/>
    <w:rsid w:val="0000267D"/>
    <w:rsid w:val="00006053"/>
    <w:rsid w:val="000306C0"/>
    <w:rsid w:val="000373BA"/>
    <w:rsid w:val="00041B85"/>
    <w:rsid w:val="00072895"/>
    <w:rsid w:val="00086359"/>
    <w:rsid w:val="000A1D37"/>
    <w:rsid w:val="000D2076"/>
    <w:rsid w:val="000E32C8"/>
    <w:rsid w:val="000E3781"/>
    <w:rsid w:val="00103761"/>
    <w:rsid w:val="001151BA"/>
    <w:rsid w:val="00123AB6"/>
    <w:rsid w:val="00135870"/>
    <w:rsid w:val="0014566E"/>
    <w:rsid w:val="001547AD"/>
    <w:rsid w:val="001935B1"/>
    <w:rsid w:val="001A029B"/>
    <w:rsid w:val="001A4F33"/>
    <w:rsid w:val="001E76CF"/>
    <w:rsid w:val="001F595F"/>
    <w:rsid w:val="001F65EB"/>
    <w:rsid w:val="00207801"/>
    <w:rsid w:val="002214FA"/>
    <w:rsid w:val="00224845"/>
    <w:rsid w:val="002360E4"/>
    <w:rsid w:val="00241EE0"/>
    <w:rsid w:val="00257263"/>
    <w:rsid w:val="00276547"/>
    <w:rsid w:val="002A69D0"/>
    <w:rsid w:val="002F600D"/>
    <w:rsid w:val="002F64E8"/>
    <w:rsid w:val="00325B92"/>
    <w:rsid w:val="00343F89"/>
    <w:rsid w:val="00363550"/>
    <w:rsid w:val="00372912"/>
    <w:rsid w:val="00376784"/>
    <w:rsid w:val="0038768E"/>
    <w:rsid w:val="00394B7F"/>
    <w:rsid w:val="003F75BF"/>
    <w:rsid w:val="004052DA"/>
    <w:rsid w:val="004272CE"/>
    <w:rsid w:val="004276E8"/>
    <w:rsid w:val="004473A6"/>
    <w:rsid w:val="00467109"/>
    <w:rsid w:val="004749F3"/>
    <w:rsid w:val="00479A3E"/>
    <w:rsid w:val="00494BC4"/>
    <w:rsid w:val="004D534F"/>
    <w:rsid w:val="00525700"/>
    <w:rsid w:val="00533453"/>
    <w:rsid w:val="00544463"/>
    <w:rsid w:val="00550422"/>
    <w:rsid w:val="0055545F"/>
    <w:rsid w:val="00566163"/>
    <w:rsid w:val="00582BA0"/>
    <w:rsid w:val="005B5615"/>
    <w:rsid w:val="005D5975"/>
    <w:rsid w:val="00604A26"/>
    <w:rsid w:val="006431B6"/>
    <w:rsid w:val="00666C40"/>
    <w:rsid w:val="0067280C"/>
    <w:rsid w:val="00685F79"/>
    <w:rsid w:val="00692FDF"/>
    <w:rsid w:val="006C6FD2"/>
    <w:rsid w:val="0073497A"/>
    <w:rsid w:val="00736D7B"/>
    <w:rsid w:val="007432A5"/>
    <w:rsid w:val="00780497"/>
    <w:rsid w:val="0078771B"/>
    <w:rsid w:val="007A0361"/>
    <w:rsid w:val="007B230E"/>
    <w:rsid w:val="007C4F5B"/>
    <w:rsid w:val="007D46F2"/>
    <w:rsid w:val="008253F1"/>
    <w:rsid w:val="0083020A"/>
    <w:rsid w:val="00845F09"/>
    <w:rsid w:val="008538B8"/>
    <w:rsid w:val="00887B0B"/>
    <w:rsid w:val="008B175C"/>
    <w:rsid w:val="008C4746"/>
    <w:rsid w:val="008D323F"/>
    <w:rsid w:val="008E5FD4"/>
    <w:rsid w:val="00901C72"/>
    <w:rsid w:val="009268EA"/>
    <w:rsid w:val="009831DE"/>
    <w:rsid w:val="00990492"/>
    <w:rsid w:val="00991E3B"/>
    <w:rsid w:val="0099544C"/>
    <w:rsid w:val="009D2340"/>
    <w:rsid w:val="00A36A34"/>
    <w:rsid w:val="00A51888"/>
    <w:rsid w:val="00A57179"/>
    <w:rsid w:val="00A602B7"/>
    <w:rsid w:val="00A65C52"/>
    <w:rsid w:val="00A73A7D"/>
    <w:rsid w:val="00A756A8"/>
    <w:rsid w:val="00A829FF"/>
    <w:rsid w:val="00A861D8"/>
    <w:rsid w:val="00A90087"/>
    <w:rsid w:val="00A904A4"/>
    <w:rsid w:val="00AA75BE"/>
    <w:rsid w:val="00AC270D"/>
    <w:rsid w:val="00AE2DD5"/>
    <w:rsid w:val="00B10A31"/>
    <w:rsid w:val="00B13AF5"/>
    <w:rsid w:val="00B222A2"/>
    <w:rsid w:val="00B23842"/>
    <w:rsid w:val="00B3516C"/>
    <w:rsid w:val="00B66DAB"/>
    <w:rsid w:val="00B824A1"/>
    <w:rsid w:val="00B82791"/>
    <w:rsid w:val="00B869AE"/>
    <w:rsid w:val="00BE2086"/>
    <w:rsid w:val="00BE38AB"/>
    <w:rsid w:val="00BF3BFB"/>
    <w:rsid w:val="00C66500"/>
    <w:rsid w:val="00C861F9"/>
    <w:rsid w:val="00C86692"/>
    <w:rsid w:val="00CA3420"/>
    <w:rsid w:val="00CB6C03"/>
    <w:rsid w:val="00CC14A4"/>
    <w:rsid w:val="00CF08D8"/>
    <w:rsid w:val="00CF5262"/>
    <w:rsid w:val="00D34132"/>
    <w:rsid w:val="00D53B40"/>
    <w:rsid w:val="00D905F9"/>
    <w:rsid w:val="00D94AEF"/>
    <w:rsid w:val="00DA0C74"/>
    <w:rsid w:val="00DD5C62"/>
    <w:rsid w:val="00DE6330"/>
    <w:rsid w:val="00E1310B"/>
    <w:rsid w:val="00E315B5"/>
    <w:rsid w:val="00E55C74"/>
    <w:rsid w:val="00E71FE5"/>
    <w:rsid w:val="00E823D0"/>
    <w:rsid w:val="00E859A7"/>
    <w:rsid w:val="00E90E5C"/>
    <w:rsid w:val="00EC03E2"/>
    <w:rsid w:val="00EC48F5"/>
    <w:rsid w:val="00F108DA"/>
    <w:rsid w:val="00F10CF2"/>
    <w:rsid w:val="00F2650A"/>
    <w:rsid w:val="00F53E29"/>
    <w:rsid w:val="00FA03A3"/>
    <w:rsid w:val="00FA0DC7"/>
    <w:rsid w:val="00FB18CE"/>
    <w:rsid w:val="00FD0311"/>
    <w:rsid w:val="00FD151E"/>
    <w:rsid w:val="00FD1538"/>
    <w:rsid w:val="00FE2425"/>
    <w:rsid w:val="00FF69D4"/>
    <w:rsid w:val="02396A8F"/>
    <w:rsid w:val="02AB5F00"/>
    <w:rsid w:val="05BAEEDB"/>
    <w:rsid w:val="0A8FC1BF"/>
    <w:rsid w:val="0D01A4C2"/>
    <w:rsid w:val="0F8D3A9A"/>
    <w:rsid w:val="11E25F45"/>
    <w:rsid w:val="1BC2D980"/>
    <w:rsid w:val="1BDEB0B0"/>
    <w:rsid w:val="1DFA827E"/>
    <w:rsid w:val="2951FBD1"/>
    <w:rsid w:val="2A5769D5"/>
    <w:rsid w:val="2D131AFE"/>
    <w:rsid w:val="2F505096"/>
    <w:rsid w:val="30345E29"/>
    <w:rsid w:val="3280DCA0"/>
    <w:rsid w:val="3515E582"/>
    <w:rsid w:val="37F4CC79"/>
    <w:rsid w:val="38B7FD69"/>
    <w:rsid w:val="39A36E2F"/>
    <w:rsid w:val="3B953E80"/>
    <w:rsid w:val="3CDD9FA2"/>
    <w:rsid w:val="3D36A909"/>
    <w:rsid w:val="3F82C84F"/>
    <w:rsid w:val="4187D0EE"/>
    <w:rsid w:val="418F58D2"/>
    <w:rsid w:val="4238D1BE"/>
    <w:rsid w:val="4380379C"/>
    <w:rsid w:val="43F9B3F1"/>
    <w:rsid w:val="48E696EE"/>
    <w:rsid w:val="4A9E9F33"/>
    <w:rsid w:val="4AA6C82F"/>
    <w:rsid w:val="4DEE76CB"/>
    <w:rsid w:val="519EFC6A"/>
    <w:rsid w:val="51A3D1AC"/>
    <w:rsid w:val="52073255"/>
    <w:rsid w:val="522C434C"/>
    <w:rsid w:val="52A2669D"/>
    <w:rsid w:val="54CE7DD0"/>
    <w:rsid w:val="54D605B4"/>
    <w:rsid w:val="58E177DE"/>
    <w:rsid w:val="5C923AE6"/>
    <w:rsid w:val="616EC0A5"/>
    <w:rsid w:val="6337BDA0"/>
    <w:rsid w:val="6366BEF3"/>
    <w:rsid w:val="6404D2BA"/>
    <w:rsid w:val="647E5020"/>
    <w:rsid w:val="6A3F6C47"/>
    <w:rsid w:val="6A82D342"/>
    <w:rsid w:val="6C014194"/>
    <w:rsid w:val="6FF627DF"/>
    <w:rsid w:val="70FB95E3"/>
    <w:rsid w:val="72AC2CF0"/>
    <w:rsid w:val="7964F629"/>
    <w:rsid w:val="7CF646DB"/>
    <w:rsid w:val="7E97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B43E"/>
  <w15:chartTrackingRefBased/>
  <w15:docId w15:val="{85338716-96D1-45C3-80A2-7A190705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2A2"/>
    <w:pPr>
      <w:spacing w:after="120" w:line="276" w:lineRule="auto"/>
      <w:jc w:val="both"/>
    </w:pPr>
    <w:rPr>
      <w:rFonts w:ascii="Times New Roman" w:eastAsia="Times New Roman" w:hAnsi="Times New Roman" w:cs="Times New Roman"/>
      <w:sz w:val="20"/>
      <w:szCs w:val="24"/>
      <w:lang w:val="en-SG" w:eastAsia="zh-CN"/>
    </w:rPr>
  </w:style>
  <w:style w:type="paragraph" w:styleId="Heading1">
    <w:name w:val="heading 1"/>
    <w:basedOn w:val="Normal"/>
    <w:next w:val="Normal"/>
    <w:link w:val="Heading1Char"/>
    <w:uiPriority w:val="9"/>
    <w:qFormat/>
    <w:rsid w:val="00B222A2"/>
    <w:pPr>
      <w:spacing w:before="240"/>
      <w:outlineLvl w:val="0"/>
    </w:pPr>
    <w:rPr>
      <w:rFonts w:ascii="Arial Narrow" w:hAnsi="Arial Narrow"/>
      <w:color w:val="008DCD"/>
      <w:szCs w:val="22"/>
    </w:rPr>
  </w:style>
  <w:style w:type="paragraph" w:styleId="Heading2">
    <w:name w:val="heading 2"/>
    <w:basedOn w:val="Normal"/>
    <w:next w:val="Normal"/>
    <w:link w:val="Heading2Char"/>
    <w:uiPriority w:val="9"/>
    <w:unhideWhenUsed/>
    <w:qFormat/>
    <w:rsid w:val="00B222A2"/>
    <w:pPr>
      <w:keepNext/>
      <w:keepLines/>
      <w:spacing w:before="40"/>
      <w:outlineLvl w:val="1"/>
    </w:pPr>
    <w:rPr>
      <w:rFonts w:asciiTheme="minorHAnsi" w:eastAsiaTheme="majorEastAsia" w:hAnsiTheme="minorHAnsi" w:cstheme="minorHAnsi"/>
      <w:b/>
      <w:bCs/>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2A2"/>
    <w:rPr>
      <w:rFonts w:ascii="Arial Narrow" w:eastAsia="Times New Roman" w:hAnsi="Arial Narrow" w:cs="Times New Roman"/>
      <w:color w:val="008DCD"/>
      <w:sz w:val="20"/>
      <w:lang w:val="en-SG" w:eastAsia="zh-CN"/>
    </w:rPr>
  </w:style>
  <w:style w:type="character" w:customStyle="1" w:styleId="Heading2Char">
    <w:name w:val="Heading 2 Char"/>
    <w:basedOn w:val="DefaultParagraphFont"/>
    <w:link w:val="Heading2"/>
    <w:uiPriority w:val="9"/>
    <w:rsid w:val="00B222A2"/>
    <w:rPr>
      <w:rFonts w:eastAsiaTheme="majorEastAsia" w:cstheme="minorHAnsi"/>
      <w:b/>
      <w:bCs/>
      <w:sz w:val="20"/>
      <w:lang w:eastAsia="zh-CN"/>
    </w:rPr>
  </w:style>
  <w:style w:type="character" w:styleId="Hyperlink">
    <w:name w:val="Hyperlink"/>
    <w:basedOn w:val="DefaultParagraphFont"/>
    <w:uiPriority w:val="99"/>
    <w:unhideWhenUsed/>
    <w:rsid w:val="00B222A2"/>
    <w:rPr>
      <w:color w:val="0563C1" w:themeColor="hyperlink"/>
      <w:u w:val="single"/>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B222A2"/>
    <w:pPr>
      <w:ind w:left="720"/>
      <w:contextualSpacing/>
    </w:pPr>
    <w:rPr>
      <w:szCs w:val="22"/>
    </w:rPr>
  </w:style>
  <w:style w:type="table" w:styleId="TableGrid">
    <w:name w:val="Table Grid"/>
    <w:basedOn w:val="TableNormal"/>
    <w:uiPriority w:val="59"/>
    <w:rsid w:val="00B222A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22A2"/>
    <w:pPr>
      <w:tabs>
        <w:tab w:val="center" w:pos="4513"/>
        <w:tab w:val="right" w:pos="9026"/>
      </w:tabs>
    </w:pPr>
    <w:rPr>
      <w:szCs w:val="22"/>
    </w:rPr>
  </w:style>
  <w:style w:type="character" w:customStyle="1" w:styleId="HeaderChar">
    <w:name w:val="Header Char"/>
    <w:basedOn w:val="DefaultParagraphFont"/>
    <w:link w:val="Header"/>
    <w:uiPriority w:val="99"/>
    <w:rsid w:val="00B222A2"/>
    <w:rPr>
      <w:rFonts w:ascii="Times New Roman" w:eastAsia="Times New Roman" w:hAnsi="Times New Roman" w:cs="Times New Roman"/>
      <w:sz w:val="20"/>
      <w:lang w:val="en-SG" w:eastAsia="zh-CN"/>
    </w:rPr>
  </w:style>
  <w:style w:type="paragraph" w:styleId="Footer">
    <w:name w:val="footer"/>
    <w:basedOn w:val="Normal"/>
    <w:link w:val="FooterChar"/>
    <w:uiPriority w:val="99"/>
    <w:unhideWhenUsed/>
    <w:rsid w:val="00B222A2"/>
    <w:pPr>
      <w:tabs>
        <w:tab w:val="center" w:pos="4513"/>
        <w:tab w:val="right" w:pos="9026"/>
      </w:tabs>
    </w:pPr>
    <w:rPr>
      <w:szCs w:val="22"/>
    </w:rPr>
  </w:style>
  <w:style w:type="character" w:customStyle="1" w:styleId="FooterChar">
    <w:name w:val="Footer Char"/>
    <w:basedOn w:val="DefaultParagraphFont"/>
    <w:link w:val="Footer"/>
    <w:uiPriority w:val="99"/>
    <w:rsid w:val="00B222A2"/>
    <w:rPr>
      <w:rFonts w:ascii="Times New Roman" w:eastAsia="Times New Roman" w:hAnsi="Times New Roman" w:cs="Times New Roman"/>
      <w:sz w:val="20"/>
      <w:lang w:val="en-SG" w:eastAsia="zh-CN"/>
    </w:rPr>
  </w:style>
  <w:style w:type="character" w:styleId="CommentReference">
    <w:name w:val="annotation reference"/>
    <w:basedOn w:val="DefaultParagraphFont"/>
    <w:uiPriority w:val="99"/>
    <w:semiHidden/>
    <w:unhideWhenUsed/>
    <w:rsid w:val="00B222A2"/>
    <w:rPr>
      <w:sz w:val="16"/>
      <w:szCs w:val="16"/>
    </w:rPr>
  </w:style>
  <w:style w:type="paragraph" w:styleId="CommentText">
    <w:name w:val="annotation text"/>
    <w:basedOn w:val="Normal"/>
    <w:link w:val="CommentTextChar"/>
    <w:uiPriority w:val="99"/>
    <w:unhideWhenUsed/>
    <w:rsid w:val="00B222A2"/>
    <w:rPr>
      <w:szCs w:val="22"/>
    </w:rPr>
  </w:style>
  <w:style w:type="character" w:customStyle="1" w:styleId="CommentTextChar">
    <w:name w:val="Comment Text Char"/>
    <w:basedOn w:val="DefaultParagraphFont"/>
    <w:link w:val="CommentText"/>
    <w:uiPriority w:val="99"/>
    <w:rsid w:val="00B222A2"/>
    <w:rPr>
      <w:rFonts w:ascii="Times New Roman" w:eastAsia="Times New Roman" w:hAnsi="Times New Roman" w:cs="Times New Roman"/>
      <w:sz w:val="20"/>
      <w:lang w:val="en-SG" w:eastAsia="zh-CN"/>
    </w:rPr>
  </w:style>
  <w:style w:type="paragraph" w:styleId="Title">
    <w:name w:val="Title"/>
    <w:basedOn w:val="Normal"/>
    <w:next w:val="Normal"/>
    <w:link w:val="TitleChar"/>
    <w:uiPriority w:val="10"/>
    <w:qFormat/>
    <w:rsid w:val="00B222A2"/>
    <w:rPr>
      <w:rFonts w:ascii="Arial Narrow" w:hAnsi="Arial Narrow"/>
      <w:sz w:val="52"/>
      <w:szCs w:val="52"/>
    </w:rPr>
  </w:style>
  <w:style w:type="character" w:customStyle="1" w:styleId="TitleChar">
    <w:name w:val="Title Char"/>
    <w:basedOn w:val="DefaultParagraphFont"/>
    <w:link w:val="Title"/>
    <w:uiPriority w:val="10"/>
    <w:rsid w:val="00B222A2"/>
    <w:rPr>
      <w:rFonts w:ascii="Arial Narrow" w:eastAsia="Times New Roman" w:hAnsi="Arial Narrow" w:cs="Times New Roman"/>
      <w:sz w:val="52"/>
      <w:szCs w:val="52"/>
      <w:lang w:val="en-SG" w:eastAsia="zh-CN"/>
    </w:rPr>
  </w:style>
  <w:style w:type="paragraph" w:styleId="Subtitle">
    <w:name w:val="Subtitle"/>
    <w:basedOn w:val="Normal"/>
    <w:next w:val="Normal"/>
    <w:link w:val="SubtitleChar"/>
    <w:uiPriority w:val="11"/>
    <w:qFormat/>
    <w:rsid w:val="00B222A2"/>
    <w:pPr>
      <w:numPr>
        <w:ilvl w:val="1"/>
      </w:numPr>
    </w:pPr>
    <w:rPr>
      <w:rFonts w:ascii="Arial Narrow" w:hAnsi="Arial Narrow"/>
      <w:spacing w:val="15"/>
      <w:sz w:val="32"/>
      <w:szCs w:val="22"/>
    </w:rPr>
  </w:style>
  <w:style w:type="character" w:customStyle="1" w:styleId="SubtitleChar">
    <w:name w:val="Subtitle Char"/>
    <w:basedOn w:val="DefaultParagraphFont"/>
    <w:link w:val="Subtitle"/>
    <w:uiPriority w:val="11"/>
    <w:rsid w:val="00B222A2"/>
    <w:rPr>
      <w:rFonts w:ascii="Arial Narrow" w:eastAsia="Times New Roman" w:hAnsi="Arial Narrow" w:cs="Times New Roman"/>
      <w:spacing w:val="15"/>
      <w:sz w:val="32"/>
      <w:lang w:val="en-SG" w:eastAsia="zh-CN"/>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rsid w:val="00B222A2"/>
    <w:rPr>
      <w:rFonts w:ascii="Times New Roman" w:eastAsia="Times New Roman" w:hAnsi="Times New Roman" w:cs="Times New Roman"/>
      <w:sz w:val="20"/>
      <w:lang w:val="en-SG" w:eastAsia="zh-CN"/>
    </w:rPr>
  </w:style>
  <w:style w:type="paragraph" w:customStyle="1" w:styleId="docheader">
    <w:name w:val="doc header"/>
    <w:basedOn w:val="Header"/>
    <w:link w:val="docheaderChar"/>
    <w:qFormat/>
    <w:rsid w:val="00B222A2"/>
    <w:pPr>
      <w:spacing w:after="240"/>
      <w:jc w:val="right"/>
    </w:pPr>
    <w:rPr>
      <w:rFonts w:ascii="Arial Narrow" w:hAnsi="Arial Narrow"/>
      <w:color w:val="008DCD"/>
    </w:rPr>
  </w:style>
  <w:style w:type="character" w:customStyle="1" w:styleId="docheaderChar">
    <w:name w:val="doc header Char"/>
    <w:basedOn w:val="HeaderChar"/>
    <w:link w:val="docheader"/>
    <w:rsid w:val="00B222A2"/>
    <w:rPr>
      <w:rFonts w:ascii="Arial Narrow" w:eastAsia="Times New Roman" w:hAnsi="Arial Narrow" w:cs="Times New Roman"/>
      <w:color w:val="008DCD"/>
      <w:sz w:val="20"/>
      <w:lang w:val="en-SG" w:eastAsia="zh-CN"/>
    </w:rPr>
  </w:style>
  <w:style w:type="paragraph" w:customStyle="1" w:styleId="Header1point5">
    <w:name w:val="Header 1point5"/>
    <w:basedOn w:val="Heading2"/>
    <w:link w:val="Header1point5Char"/>
    <w:qFormat/>
    <w:rsid w:val="00B222A2"/>
  </w:style>
  <w:style w:type="paragraph" w:customStyle="1" w:styleId="Reflist">
    <w:name w:val="Ref list"/>
    <w:basedOn w:val="Normal"/>
    <w:link w:val="ReflistChar"/>
    <w:qFormat/>
    <w:rsid w:val="00B222A2"/>
    <w:pPr>
      <w:ind w:left="720" w:hanging="720"/>
    </w:pPr>
    <w:rPr>
      <w:lang w:val="en-GB"/>
    </w:rPr>
  </w:style>
  <w:style w:type="character" w:customStyle="1" w:styleId="Header1point5Char">
    <w:name w:val="Header 1point5 Char"/>
    <w:basedOn w:val="Heading2Char"/>
    <w:link w:val="Header1point5"/>
    <w:rsid w:val="00B222A2"/>
    <w:rPr>
      <w:rFonts w:eastAsiaTheme="majorEastAsia" w:cstheme="minorHAnsi"/>
      <w:b/>
      <w:bCs/>
      <w:sz w:val="20"/>
      <w:lang w:eastAsia="zh-CN"/>
    </w:rPr>
  </w:style>
  <w:style w:type="character" w:customStyle="1" w:styleId="ReflistChar">
    <w:name w:val="Ref list Char"/>
    <w:basedOn w:val="DefaultParagraphFont"/>
    <w:link w:val="Reflist"/>
    <w:rsid w:val="00B222A2"/>
    <w:rPr>
      <w:rFonts w:ascii="Times New Roman" w:eastAsia="Times New Roman" w:hAnsi="Times New Roman" w:cs="Times New Roman"/>
      <w:sz w:val="20"/>
      <w:szCs w:val="24"/>
      <w:lang w:eastAsia="zh-CN"/>
    </w:rPr>
  </w:style>
  <w:style w:type="paragraph" w:styleId="BalloonText">
    <w:name w:val="Balloon Text"/>
    <w:basedOn w:val="Normal"/>
    <w:link w:val="BalloonTextChar"/>
    <w:uiPriority w:val="99"/>
    <w:semiHidden/>
    <w:unhideWhenUsed/>
    <w:rsid w:val="00B22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2A2"/>
    <w:rPr>
      <w:rFonts w:ascii="Segoe UI" w:eastAsia="Times New Roman" w:hAnsi="Segoe UI" w:cs="Segoe UI"/>
      <w:sz w:val="18"/>
      <w:szCs w:val="18"/>
      <w:lang w:val="en-SG" w:eastAsia="zh-CN"/>
    </w:rPr>
  </w:style>
  <w:style w:type="paragraph" w:styleId="FootnoteText">
    <w:name w:val="footnote text"/>
    <w:basedOn w:val="Normal"/>
    <w:link w:val="FootnoteTextChar"/>
    <w:uiPriority w:val="99"/>
    <w:semiHidden/>
    <w:unhideWhenUsed/>
    <w:rsid w:val="00494BC4"/>
    <w:pPr>
      <w:spacing w:after="0" w:line="240" w:lineRule="auto"/>
      <w:jc w:val="left"/>
    </w:pPr>
    <w:rPr>
      <w:rFonts w:asciiTheme="minorHAnsi" w:eastAsiaTheme="minorHAnsi" w:hAnsiTheme="minorHAnsi" w:cstheme="minorBidi"/>
      <w:szCs w:val="20"/>
      <w:lang w:val="en-US" w:eastAsia="en-US"/>
    </w:rPr>
  </w:style>
  <w:style w:type="character" w:customStyle="1" w:styleId="FootnoteTextChar">
    <w:name w:val="Footnote Text Char"/>
    <w:basedOn w:val="DefaultParagraphFont"/>
    <w:link w:val="FootnoteText"/>
    <w:uiPriority w:val="99"/>
    <w:semiHidden/>
    <w:rsid w:val="00494BC4"/>
    <w:rPr>
      <w:sz w:val="20"/>
      <w:szCs w:val="20"/>
      <w:lang w:val="en-US"/>
    </w:rPr>
  </w:style>
  <w:style w:type="character" w:styleId="FootnoteReference">
    <w:name w:val="footnote reference"/>
    <w:basedOn w:val="DefaultParagraphFont"/>
    <w:uiPriority w:val="99"/>
    <w:semiHidden/>
    <w:unhideWhenUsed/>
    <w:rsid w:val="00494BC4"/>
    <w:rPr>
      <w:vertAlign w:val="superscript"/>
    </w:rPr>
  </w:style>
  <w:style w:type="character" w:styleId="FollowedHyperlink">
    <w:name w:val="FollowedHyperlink"/>
    <w:basedOn w:val="DefaultParagraphFont"/>
    <w:uiPriority w:val="99"/>
    <w:semiHidden/>
    <w:unhideWhenUsed/>
    <w:rsid w:val="00494BC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3497A"/>
    <w:pPr>
      <w:spacing w:line="240" w:lineRule="auto"/>
    </w:pPr>
    <w:rPr>
      <w:b/>
      <w:bCs/>
      <w:szCs w:val="20"/>
    </w:rPr>
  </w:style>
  <w:style w:type="character" w:customStyle="1" w:styleId="CommentSubjectChar">
    <w:name w:val="Comment Subject Char"/>
    <w:basedOn w:val="CommentTextChar"/>
    <w:link w:val="CommentSubject"/>
    <w:uiPriority w:val="99"/>
    <w:semiHidden/>
    <w:rsid w:val="0073497A"/>
    <w:rPr>
      <w:rFonts w:ascii="Times New Roman" w:eastAsia="Times New Roman" w:hAnsi="Times New Roman" w:cs="Times New Roman"/>
      <w:b/>
      <w:bCs/>
      <w:sz w:val="20"/>
      <w:szCs w:val="20"/>
      <w:lang w:val="en-SG" w:eastAsia="zh-CN"/>
    </w:rPr>
  </w:style>
  <w:style w:type="character" w:customStyle="1" w:styleId="UnresolvedMention">
    <w:name w:val="Unresolved Mention"/>
    <w:basedOn w:val="DefaultParagraphFont"/>
    <w:uiPriority w:val="99"/>
    <w:semiHidden/>
    <w:unhideWhenUsed/>
    <w:rsid w:val="00FD1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by-nc-sa/3.0/ig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ho.int/groups/strategic-advisory-group-of-experts-on-immunization/working-groups/covid-1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groups/strategic-advisory-group-of-experts-on-immunization/working-groups/covid-1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apers.ssrn.com/sol3/papers.cfm?abstract_id=3789264" TargetMode="External"/><Relationship Id="rId13" Type="http://schemas.openxmlformats.org/officeDocument/2006/relationships/hyperlink" Target="https://assets.publishing.service.gov.uk/government/uploads/system/uploads/attachment_data/file/988172/Vaccine_surveillance_report_-_week_20.pdf" TargetMode="External"/><Relationship Id="rId18" Type="http://schemas.openxmlformats.org/officeDocument/2006/relationships/hyperlink" Target="https://www.cell.com/cell/pdf/S0092-8674(21)00428-1.pdf" TargetMode="External"/><Relationship Id="rId3" Type="http://schemas.openxmlformats.org/officeDocument/2006/relationships/hyperlink" Target="https://doi.org/10.1016/S0140-6736(21)00432-3" TargetMode="External"/><Relationship Id="rId21" Type="http://schemas.openxmlformats.org/officeDocument/2006/relationships/hyperlink" Target="https://www.who.int/publications/m/item/who-sage-roadmap-for-prioritizing-uses-of-covid-19-vaccines-in-the-context-of-limited-supply" TargetMode="External"/><Relationship Id="rId7" Type="http://schemas.openxmlformats.org/officeDocument/2006/relationships/hyperlink" Target="https://www.thelancet.com/journals/lancet/article/PIIS0140-6736(21)00677-2/fulltext" TargetMode="External"/><Relationship Id="rId12" Type="http://schemas.openxmlformats.org/officeDocument/2006/relationships/hyperlink" Target="http://www.medrxiv.org/content/10.1101/2021.03.11.21253275v1" TargetMode="External"/><Relationship Id="rId17" Type="http://schemas.openxmlformats.org/officeDocument/2006/relationships/hyperlink" Target="https://www.cell.com/cell/pdf/S0092-8674(21)00298-1.pdf" TargetMode="External"/><Relationship Id="rId2" Type="http://schemas.openxmlformats.org/officeDocument/2006/relationships/hyperlink" Target="https://www.who.int/publications/i/item/background-document-on-the-azd1222-vaccine-against-covid-19-developed-by-oxford-university-and-astrazeneca" TargetMode="External"/><Relationship Id="rId16" Type="http://schemas.openxmlformats.org/officeDocument/2006/relationships/hyperlink" Target="https://www.cell.com/cell/fulltext/S0092-8674%2820%2931685-8" TargetMode="External"/><Relationship Id="rId20" Type="http://schemas.openxmlformats.org/officeDocument/2006/relationships/hyperlink" Target="https://doi.org/10.1016/j.cell.2021.02.037" TargetMode="External"/><Relationship Id="rId1" Type="http://schemas.openxmlformats.org/officeDocument/2006/relationships/hyperlink" Target="https://www.who.int/publications/m/item/considerations-for-optimizing-deployment-of-astrazeneca-azd1222-and-sii-covishield-vaccines-in-a-time-limited-constrained-supply-situation" TargetMode="External"/><Relationship Id="rId6" Type="http://schemas.openxmlformats.org/officeDocument/2006/relationships/hyperlink" Target="https://papers.ssrn.com/sol3/papers.cfm?abstract_id=3796835" TargetMode="External"/><Relationship Id="rId11" Type="http://schemas.openxmlformats.org/officeDocument/2006/relationships/hyperlink" Target="https://doi.org/10.1016/S0140-6736(21)00628-0" TargetMode="External"/><Relationship Id="rId5" Type="http://schemas.openxmlformats.org/officeDocument/2006/relationships/hyperlink" Target="https://www.medrxiv.org/content/10.1101/2021.03.01.21252652v1" TargetMode="External"/><Relationship Id="rId15" Type="http://schemas.openxmlformats.org/officeDocument/2006/relationships/hyperlink" Target="https://www.nejm.org/doi/full/10.1056/nejmoa2102214" TargetMode="External"/><Relationship Id="rId23" Type="http://schemas.openxmlformats.org/officeDocument/2006/relationships/hyperlink" Target="https://www.medrxiv.org/content/10.1101/2021.03.15.21253542v1.full" TargetMode="External"/><Relationship Id="rId10" Type="http://schemas.openxmlformats.org/officeDocument/2006/relationships/hyperlink" Target="https://doi.org/10.1016/S0140-6736(21)01115-6" TargetMode="External"/><Relationship Id="rId19" Type="http://schemas.openxmlformats.org/officeDocument/2006/relationships/hyperlink" Target="https://www.biorxiv.org/content/10.1101/2021.05.12.443645v1.full.pdf" TargetMode="External"/><Relationship Id="rId4" Type="http://schemas.openxmlformats.org/officeDocument/2006/relationships/hyperlink" Target="https://www.who.int/publications/i/item/WHO-2019-nCoV-vaccines-SAGE_recommendation-AZD1222-2021.1" TargetMode="External"/><Relationship Id="rId9" Type="http://schemas.openxmlformats.org/officeDocument/2006/relationships/hyperlink" Target="https://www.who.int/news/item/16-04-2021-global-advisory-committee-on-vaccine-safety-(gacvs)-review-of-latest-evidence-of-rare-adverse-blood-coagulation-events-with-astrazeneca-covid-19-vaccine-(vaxzevria-and-covishield)" TargetMode="External"/><Relationship Id="rId14" Type="http://schemas.openxmlformats.org/officeDocument/2006/relationships/hyperlink" Target="https://khub.net/documents/135939561/430986542/Effectiveness+of+COVID-19+vaccines+against+the+B.1.617.2+variant.pdf/204c11a4-e02e-11f2-db19-b3664107ac42" TargetMode="External"/><Relationship Id="rId22" Type="http://schemas.openxmlformats.org/officeDocument/2006/relationships/hyperlink" Target="https://www.medrxiv.org/content/10.1101/2020.12.31.20249099v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FENC\OneDrive%20-%20World%20Health%20Organization\Documents\Custom%20Office%20Templates\SAGE%20Covid%20Rec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0B2CC6EF188C41A57CB2909787B1D9" ma:contentTypeVersion="12" ma:contentTypeDescription="Create a new document." ma:contentTypeScope="" ma:versionID="5c11b2136a3ead73213e8f36ce79de64">
  <xsd:schema xmlns:xsd="http://www.w3.org/2001/XMLSchema" xmlns:xs="http://www.w3.org/2001/XMLSchema" xmlns:p="http://schemas.microsoft.com/office/2006/metadata/properties" xmlns:ns2="b96f0f7a-702d-4388-8bfe-aea6ec037026" xmlns:ns3="4b328860-9e8f-4721-a73a-fc293303ea32" targetNamespace="http://schemas.microsoft.com/office/2006/metadata/properties" ma:root="true" ma:fieldsID="33bbe7959f2889f6e6d39eb858cf6fa5" ns2:_="" ns3:_="">
    <xsd:import namespace="b96f0f7a-702d-4388-8bfe-aea6ec037026"/>
    <xsd:import namespace="4b328860-9e8f-4721-a73a-fc293303e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f0f7a-702d-4388-8bfe-aea6ec037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28860-9e8f-4721-a73a-fc293303ea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8994-2833-4E7E-9443-8B617CD19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f0f7a-702d-4388-8bfe-aea6ec037026"/>
    <ds:schemaRef ds:uri="4b328860-9e8f-4721-a73a-fc293303e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0A2C9-2759-41AF-AE71-464191DF0F51}">
  <ds:schemaRefs>
    <ds:schemaRef ds:uri="http://schemas.microsoft.com/sharepoint/v3/contenttype/forms"/>
  </ds:schemaRefs>
</ds:datastoreItem>
</file>

<file path=customXml/itemProps3.xml><?xml version="1.0" encoding="utf-8"?>
<ds:datastoreItem xmlns:ds="http://schemas.openxmlformats.org/officeDocument/2006/customXml" ds:itemID="{ADBFC562-3DFE-4251-B16E-A55814891A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99974F-8313-44F0-924A-F50CD6C8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SAGE Covid Recs template.dotx</Template>
  <TotalTime>350</TotalTime>
  <Pages>5</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Links>
    <vt:vector size="156" baseType="variant">
      <vt:variant>
        <vt:i4>720964</vt:i4>
      </vt:variant>
      <vt:variant>
        <vt:i4>6</vt:i4>
      </vt:variant>
      <vt:variant>
        <vt:i4>0</vt:i4>
      </vt:variant>
      <vt:variant>
        <vt:i4>5</vt:i4>
      </vt:variant>
      <vt:variant>
        <vt:lpwstr>https://creativecommons.org/licenses/by-nc-sa/3.0/igo</vt:lpwstr>
      </vt:variant>
      <vt:variant>
        <vt:lpwstr/>
      </vt:variant>
      <vt:variant>
        <vt:i4>3276922</vt:i4>
      </vt:variant>
      <vt:variant>
        <vt:i4>3</vt:i4>
      </vt:variant>
      <vt:variant>
        <vt:i4>0</vt:i4>
      </vt:variant>
      <vt:variant>
        <vt:i4>5</vt:i4>
      </vt:variant>
      <vt:variant>
        <vt:lpwstr>https://www.who.int/groups/strategic-advisory-group-of-experts-on-immunization/working-groups/covid-19</vt:lpwstr>
      </vt:variant>
      <vt:variant>
        <vt:lpwstr/>
      </vt:variant>
      <vt:variant>
        <vt:i4>3276922</vt:i4>
      </vt:variant>
      <vt:variant>
        <vt:i4>0</vt:i4>
      </vt:variant>
      <vt:variant>
        <vt:i4>0</vt:i4>
      </vt:variant>
      <vt:variant>
        <vt:i4>5</vt:i4>
      </vt:variant>
      <vt:variant>
        <vt:lpwstr>https://www.who.int/groups/strategic-advisory-group-of-experts-on-immunization/working-groups/covid-19</vt:lpwstr>
      </vt:variant>
      <vt:variant>
        <vt:lpwstr/>
      </vt:variant>
      <vt:variant>
        <vt:i4>7143542</vt:i4>
      </vt:variant>
      <vt:variant>
        <vt:i4>66</vt:i4>
      </vt:variant>
      <vt:variant>
        <vt:i4>0</vt:i4>
      </vt:variant>
      <vt:variant>
        <vt:i4>5</vt:i4>
      </vt:variant>
      <vt:variant>
        <vt:lpwstr>https://www.medrxiv.org/content/10.1101/2021.03.15.21253542v1.full</vt:lpwstr>
      </vt:variant>
      <vt:variant>
        <vt:lpwstr/>
      </vt:variant>
      <vt:variant>
        <vt:i4>5832768</vt:i4>
      </vt:variant>
      <vt:variant>
        <vt:i4>63</vt:i4>
      </vt:variant>
      <vt:variant>
        <vt:i4>0</vt:i4>
      </vt:variant>
      <vt:variant>
        <vt:i4>5</vt:i4>
      </vt:variant>
      <vt:variant>
        <vt:lpwstr>https://www.medrxiv.org/content/10.1101/2020.12.31.20249099v4</vt:lpwstr>
      </vt:variant>
      <vt:variant>
        <vt:lpwstr/>
      </vt:variant>
      <vt:variant>
        <vt:i4>2031624</vt:i4>
      </vt:variant>
      <vt:variant>
        <vt:i4>60</vt:i4>
      </vt:variant>
      <vt:variant>
        <vt:i4>0</vt:i4>
      </vt:variant>
      <vt:variant>
        <vt:i4>5</vt:i4>
      </vt:variant>
      <vt:variant>
        <vt:lpwstr>https://www.who.int/publications/m/item/who-sage-roadmap-for-prioritizing-uses-of-covid-19-vaccines-in-the-context-of-limited-supply</vt:lpwstr>
      </vt:variant>
      <vt:variant>
        <vt:lpwstr/>
      </vt:variant>
      <vt:variant>
        <vt:i4>3014715</vt:i4>
      </vt:variant>
      <vt:variant>
        <vt:i4>57</vt:i4>
      </vt:variant>
      <vt:variant>
        <vt:i4>0</vt:i4>
      </vt:variant>
      <vt:variant>
        <vt:i4>5</vt:i4>
      </vt:variant>
      <vt:variant>
        <vt:lpwstr>https://doi.org/10.1016/j.cell.2021.02.037</vt:lpwstr>
      </vt:variant>
      <vt:variant>
        <vt:lpwstr/>
      </vt:variant>
      <vt:variant>
        <vt:i4>4456458</vt:i4>
      </vt:variant>
      <vt:variant>
        <vt:i4>54</vt:i4>
      </vt:variant>
      <vt:variant>
        <vt:i4>0</vt:i4>
      </vt:variant>
      <vt:variant>
        <vt:i4>5</vt:i4>
      </vt:variant>
      <vt:variant>
        <vt:lpwstr>https://www.biorxiv.org/content/10.1101/2021.05.12.443645v1.full.pdf</vt:lpwstr>
      </vt:variant>
      <vt:variant>
        <vt:lpwstr/>
      </vt:variant>
      <vt:variant>
        <vt:i4>8126500</vt:i4>
      </vt:variant>
      <vt:variant>
        <vt:i4>51</vt:i4>
      </vt:variant>
      <vt:variant>
        <vt:i4>0</vt:i4>
      </vt:variant>
      <vt:variant>
        <vt:i4>5</vt:i4>
      </vt:variant>
      <vt:variant>
        <vt:lpwstr>https://www.cell.com/cell/pdf/S0092-8674(21)00428-1.pdf</vt:lpwstr>
      </vt:variant>
      <vt:variant>
        <vt:lpwstr/>
      </vt:variant>
      <vt:variant>
        <vt:i4>7798818</vt:i4>
      </vt:variant>
      <vt:variant>
        <vt:i4>48</vt:i4>
      </vt:variant>
      <vt:variant>
        <vt:i4>0</vt:i4>
      </vt:variant>
      <vt:variant>
        <vt:i4>5</vt:i4>
      </vt:variant>
      <vt:variant>
        <vt:lpwstr>https://www.cell.com/cell/pdf/S0092-8674(21)00298-1.pdf</vt:lpwstr>
      </vt:variant>
      <vt:variant>
        <vt:lpwstr/>
      </vt:variant>
      <vt:variant>
        <vt:i4>917535</vt:i4>
      </vt:variant>
      <vt:variant>
        <vt:i4>45</vt:i4>
      </vt:variant>
      <vt:variant>
        <vt:i4>0</vt:i4>
      </vt:variant>
      <vt:variant>
        <vt:i4>5</vt:i4>
      </vt:variant>
      <vt:variant>
        <vt:lpwstr>https://www.cell.com/cell/fulltext/S0092-8674%2820%2931685-8</vt:lpwstr>
      </vt:variant>
      <vt:variant>
        <vt:lpwstr/>
      </vt:variant>
      <vt:variant>
        <vt:i4>2097196</vt:i4>
      </vt:variant>
      <vt:variant>
        <vt:i4>42</vt:i4>
      </vt:variant>
      <vt:variant>
        <vt:i4>0</vt:i4>
      </vt:variant>
      <vt:variant>
        <vt:i4>5</vt:i4>
      </vt:variant>
      <vt:variant>
        <vt:lpwstr>https://www.nejm.org/doi/full/10.1056/nejmoa2102214</vt:lpwstr>
      </vt:variant>
      <vt:variant>
        <vt:lpwstr/>
      </vt:variant>
      <vt:variant>
        <vt:i4>4653136</vt:i4>
      </vt:variant>
      <vt:variant>
        <vt:i4>39</vt:i4>
      </vt:variant>
      <vt:variant>
        <vt:i4>0</vt:i4>
      </vt:variant>
      <vt:variant>
        <vt:i4>5</vt:i4>
      </vt:variant>
      <vt:variant>
        <vt:lpwstr>https://khub.net/documents/135939561/430986542/Effectiveness+of+COVID-19+vaccines+against+the+B.1.617.2+variant.pdf/204c11a4-e02e-11f2-db19-b3664107ac42</vt:lpwstr>
      </vt:variant>
      <vt:variant>
        <vt:lpwstr/>
      </vt:variant>
      <vt:variant>
        <vt:i4>6488116</vt:i4>
      </vt:variant>
      <vt:variant>
        <vt:i4>36</vt:i4>
      </vt:variant>
      <vt:variant>
        <vt:i4>0</vt:i4>
      </vt:variant>
      <vt:variant>
        <vt:i4>5</vt:i4>
      </vt:variant>
      <vt:variant>
        <vt:lpwstr>https://assets.publishing.service.gov.uk/government/uploads/system/uploads/attachment_data/file/988172/Vaccine_surveillance_report_-_week_20.pdf</vt:lpwstr>
      </vt:variant>
      <vt:variant>
        <vt:lpwstr/>
      </vt:variant>
      <vt:variant>
        <vt:i4>1507397</vt:i4>
      </vt:variant>
      <vt:variant>
        <vt:i4>33</vt:i4>
      </vt:variant>
      <vt:variant>
        <vt:i4>0</vt:i4>
      </vt:variant>
      <vt:variant>
        <vt:i4>5</vt:i4>
      </vt:variant>
      <vt:variant>
        <vt:lpwstr>http://www.medrxiv.org/content/10.1101/2021.03.11.21253275v1</vt:lpwstr>
      </vt:variant>
      <vt:variant>
        <vt:lpwstr/>
      </vt:variant>
      <vt:variant>
        <vt:i4>917516</vt:i4>
      </vt:variant>
      <vt:variant>
        <vt:i4>30</vt:i4>
      </vt:variant>
      <vt:variant>
        <vt:i4>0</vt:i4>
      </vt:variant>
      <vt:variant>
        <vt:i4>5</vt:i4>
      </vt:variant>
      <vt:variant>
        <vt:lpwstr>https://doi.org/10.1016/S0140-6736(21)00628-0</vt:lpwstr>
      </vt:variant>
      <vt:variant>
        <vt:lpwstr/>
      </vt:variant>
      <vt:variant>
        <vt:i4>786438</vt:i4>
      </vt:variant>
      <vt:variant>
        <vt:i4>27</vt:i4>
      </vt:variant>
      <vt:variant>
        <vt:i4>0</vt:i4>
      </vt:variant>
      <vt:variant>
        <vt:i4>5</vt:i4>
      </vt:variant>
      <vt:variant>
        <vt:lpwstr>https://doi.org/10.1016/S0140-6736(21)01115-6</vt:lpwstr>
      </vt:variant>
      <vt:variant>
        <vt:lpwstr/>
      </vt:variant>
      <vt:variant>
        <vt:i4>786519</vt:i4>
      </vt:variant>
      <vt:variant>
        <vt:i4>24</vt:i4>
      </vt:variant>
      <vt:variant>
        <vt:i4>0</vt:i4>
      </vt:variant>
      <vt:variant>
        <vt:i4>5</vt:i4>
      </vt:variant>
      <vt:variant>
        <vt:lpwstr>https://www.who.int/news/item/16-04-2021-global-advisory-committee-on-vaccine-safety-(gacvs)-review-of-latest-evidence-of-rare-adverse-blood-coagulation-events-with-astrazeneca-covid-19-vaccine-(vaxzevria-and-covishield)</vt:lpwstr>
      </vt:variant>
      <vt:variant>
        <vt:lpwstr/>
      </vt:variant>
      <vt:variant>
        <vt:i4>4128839</vt:i4>
      </vt:variant>
      <vt:variant>
        <vt:i4>21</vt:i4>
      </vt:variant>
      <vt:variant>
        <vt:i4>0</vt:i4>
      </vt:variant>
      <vt:variant>
        <vt:i4>5</vt:i4>
      </vt:variant>
      <vt:variant>
        <vt:lpwstr>https://papers.ssrn.com/sol3/papers.cfm?abstract_id=3789264</vt:lpwstr>
      </vt:variant>
      <vt:variant>
        <vt:lpwstr/>
      </vt:variant>
      <vt:variant>
        <vt:i4>3407917</vt:i4>
      </vt:variant>
      <vt:variant>
        <vt:i4>18</vt:i4>
      </vt:variant>
      <vt:variant>
        <vt:i4>0</vt:i4>
      </vt:variant>
      <vt:variant>
        <vt:i4>5</vt:i4>
      </vt:variant>
      <vt:variant>
        <vt:lpwstr>https://www.thelancet.com/journals/lancet/article/PIIS0140-6736(21)00677-2/fulltext</vt:lpwstr>
      </vt:variant>
      <vt:variant>
        <vt:lpwstr/>
      </vt:variant>
      <vt:variant>
        <vt:i4>3473484</vt:i4>
      </vt:variant>
      <vt:variant>
        <vt:i4>15</vt:i4>
      </vt:variant>
      <vt:variant>
        <vt:i4>0</vt:i4>
      </vt:variant>
      <vt:variant>
        <vt:i4>5</vt:i4>
      </vt:variant>
      <vt:variant>
        <vt:lpwstr>https://papers.ssrn.com/sol3/papers.cfm?abstract_id=3796835</vt:lpwstr>
      </vt:variant>
      <vt:variant>
        <vt:lpwstr/>
      </vt:variant>
      <vt:variant>
        <vt:i4>6160463</vt:i4>
      </vt:variant>
      <vt:variant>
        <vt:i4>12</vt:i4>
      </vt:variant>
      <vt:variant>
        <vt:i4>0</vt:i4>
      </vt:variant>
      <vt:variant>
        <vt:i4>5</vt:i4>
      </vt:variant>
      <vt:variant>
        <vt:lpwstr>https://www.medrxiv.org/content/10.1101/2021.03.01.21252652v1</vt:lpwstr>
      </vt:variant>
      <vt:variant>
        <vt:lpwstr/>
      </vt:variant>
      <vt:variant>
        <vt:i4>6750284</vt:i4>
      </vt:variant>
      <vt:variant>
        <vt:i4>9</vt:i4>
      </vt:variant>
      <vt:variant>
        <vt:i4>0</vt:i4>
      </vt:variant>
      <vt:variant>
        <vt:i4>5</vt:i4>
      </vt:variant>
      <vt:variant>
        <vt:lpwstr>https://www.who.int/publications/i/item/WHO-2019-nCoV-vaccines-SAGE_recommendation-AZD1222-2021.1</vt:lpwstr>
      </vt:variant>
      <vt:variant>
        <vt:lpwstr/>
      </vt:variant>
      <vt:variant>
        <vt:i4>983044</vt:i4>
      </vt:variant>
      <vt:variant>
        <vt:i4>6</vt:i4>
      </vt:variant>
      <vt:variant>
        <vt:i4>0</vt:i4>
      </vt:variant>
      <vt:variant>
        <vt:i4>5</vt:i4>
      </vt:variant>
      <vt:variant>
        <vt:lpwstr>https://doi.org/10.1016/S0140-6736(21)00432-3</vt:lpwstr>
      </vt:variant>
      <vt:variant>
        <vt:lpwstr/>
      </vt:variant>
      <vt:variant>
        <vt:i4>2162784</vt:i4>
      </vt:variant>
      <vt:variant>
        <vt:i4>3</vt:i4>
      </vt:variant>
      <vt:variant>
        <vt:i4>0</vt:i4>
      </vt:variant>
      <vt:variant>
        <vt:i4>5</vt:i4>
      </vt:variant>
      <vt:variant>
        <vt:lpwstr>https://www.who.int/publications/i/item/background-document-on-the-azd1222-vaccine-against-covid-19-developed-by-oxford-university-and-astrazeneca</vt:lpwstr>
      </vt:variant>
      <vt:variant>
        <vt:lpwstr/>
      </vt:variant>
      <vt:variant>
        <vt:i4>8061049</vt:i4>
      </vt:variant>
      <vt:variant>
        <vt:i4>0</vt:i4>
      </vt:variant>
      <vt:variant>
        <vt:i4>0</vt:i4>
      </vt:variant>
      <vt:variant>
        <vt:i4>5</vt:i4>
      </vt:variant>
      <vt:variant>
        <vt:lpwstr>https://www.who.int/publications/m/item/considerations-for-optimizing-deployment-of-astrazeneca-azd1222-and-sii-covishield-vaccines-in-a-time-limited-constrained-supply-situation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Christoph</dc:creator>
  <cp:keywords/>
  <dc:description/>
  <cp:lastModifiedBy>Diana</cp:lastModifiedBy>
  <cp:revision>16</cp:revision>
  <dcterms:created xsi:type="dcterms:W3CDTF">2021-05-26T18:10:00Z</dcterms:created>
  <dcterms:modified xsi:type="dcterms:W3CDTF">2021-05-27T15:02:00Z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0x010100C80B2CC6EF188C41A57CB2909787B1D9</vt:lpwstr>
  </property>
</Properties>
</file>